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Brief - Lot 31, 3 Oskar Court, Pakenham VIC 3810</w:t>
      </w:r>
    </w:p>
    <w:p>
      <w:r>
        <w:t>Date: 06/03/2026. Prepared by: Project Manager (Nagar Student).</w:t>
      </w:r>
    </w:p>
    <w:p>
      <w:pPr>
        <w:pStyle w:val="Heading2"/>
      </w:pPr>
      <w:r>
        <w:t>1. Project Overview</w:t>
      </w:r>
    </w:p>
    <w:p>
      <w:r>
        <w:t>This brief outlines the proposed construction of a single-storey residential dwelling at Lot 31, 3 Oskar Court, Pakenham. As Project Manager, the role is to coordinate technical documentation, establish a probable construction budget, confirm planning submission readiness, and obtain client approval to proceed to delivery phases.</w:t>
      </w:r>
    </w:p>
    <w:p>
      <w:pPr>
        <w:pStyle w:val="Heading2"/>
      </w:pPr>
      <w:r>
        <w:t>2. Site Conditions</w:t>
      </w:r>
    </w:p>
    <w:p>
      <w:r>
        <w:t>Engineering and specification documents identify a Class P (Modified Class M) reactive site requiring additional footing controls. The lot has site level variation requiring cut/fill preparation, controlled drainage and retaining wall systems. Key site considerations include removal of organic topsoil, compaction of fill to AS2870 requirements, surface grading away from footings, and drainage to legal points of discharge.</w:t>
      </w:r>
    </w:p>
    <w:p>
      <w:r>
        <w:t>Identified technical conditions:</w:t>
      </w:r>
    </w:p>
    <w:p>
      <w:pPr>
        <w:pStyle w:val="ListBullet"/>
      </w:pPr>
      <w:r>
        <w:t>Reactive clay foundation conditions (Class P Modified M).</w:t>
      </w:r>
    </w:p>
    <w:p>
      <w:pPr>
        <w:pStyle w:val="ListBullet"/>
      </w:pPr>
      <w:r>
        <w:t>Site cut/fill works to establish compliant building platform.</w:t>
      </w:r>
    </w:p>
    <w:p>
      <w:pPr>
        <w:pStyle w:val="ListBullet"/>
      </w:pPr>
      <w:r>
        <w:t>Perimeter retaining walls/sleeper walls with engineered surcharge capacity.</w:t>
      </w:r>
    </w:p>
    <w:p>
      <w:pPr>
        <w:pStyle w:val="ListBullet"/>
      </w:pPr>
      <w:r>
        <w:t>Surface water management and ag-drain requirements around slab perimeter.</w:t>
      </w:r>
    </w:p>
    <w:p>
      <w:pPr>
        <w:pStyle w:val="ListBullet"/>
      </w:pPr>
      <w:r>
        <w:t>Service trench treatment and waterproofing of footing-adjacent trench zones.</w:t>
      </w:r>
    </w:p>
    <w:p>
      <w:pPr>
        <w:pStyle w:val="Heading2"/>
      </w:pPr>
      <w:r>
        <w:t>3. Specific Construction Allowances</w:t>
      </w:r>
    </w:p>
    <w:p>
      <w:r>
        <w:t>The following project-specific allowances are required to manage structural movement risk and site drainage performance:</w:t>
      </w:r>
    </w:p>
    <w:p>
      <w:pPr>
        <w:pStyle w:val="ListBullet"/>
      </w:pPr>
      <w:r>
        <w:t>Suspended waffle raft slab: Provides improved footing performance on reactive soils and distributes loads effectively.</w:t>
      </w:r>
    </w:p>
    <w:p>
      <w:pPr>
        <w:pStyle w:val="ListBullet"/>
      </w:pPr>
      <w:r>
        <w:t>Screw-in piles (70kN/80kN/100kN as engineered): Transfers load to suitable founding depth and reduces settlement risk.</w:t>
      </w:r>
    </w:p>
    <w:p>
      <w:pPr>
        <w:pStyle w:val="ListBullet"/>
      </w:pPr>
      <w:r>
        <w:t>Articulation joints in brickwork: Accommodates differential movement and reduces cracking.</w:t>
      </w:r>
    </w:p>
    <w:p>
      <w:pPr>
        <w:pStyle w:val="ListBullet"/>
      </w:pPr>
      <w:r>
        <w:t>Perimeter/agricultural drainage: Prevents ponding near footings and protects slab moisture conditions.</w:t>
      </w:r>
    </w:p>
    <w:p>
      <w:pPr>
        <w:pStyle w:val="ListBullet"/>
      </w:pPr>
      <w:r>
        <w:t>Retaining wall systems: Manages level changes and protects boundaries/usable yard areas.</w:t>
      </w:r>
    </w:p>
    <w:p>
      <w:pPr>
        <w:pStyle w:val="ListBullet"/>
      </w:pPr>
      <w:r>
        <w:t>Site runoff controls during construction: Prevents erosion and runoff impacts to adjacent/public areas.</w:t>
      </w:r>
    </w:p>
    <w:p>
      <w:pPr>
        <w:pStyle w:val="Heading2"/>
      </w:pPr>
      <w:r>
        <w:t>4. Project Plans and Specifications</w:t>
      </w:r>
    </w:p>
    <w:p>
      <w:r>
        <w:t>The following documentation will govern design intent and construction execution:</w:t>
      </w:r>
    </w:p>
    <w:p>
      <w:pPr>
        <w:pStyle w:val="ListBullet"/>
      </w:pPr>
      <w:r>
        <w:t>Site plan and boundary/level information from the Oskar Court construction set.</w:t>
      </w:r>
    </w:p>
    <w:p>
      <w:pPr>
        <w:pStyle w:val="ListBullet"/>
      </w:pPr>
      <w:r>
        <w:t>Architectural floor plans, sections and elevations defining building layout and envelope.</w:t>
      </w:r>
    </w:p>
    <w:p>
      <w:pPr>
        <w:pStyle w:val="ListBullet"/>
      </w:pPr>
      <w:r>
        <w:t>Structural engineering drawings for slab, piles, retaining, reinforcement and drainage details.</w:t>
      </w:r>
    </w:p>
    <w:p>
      <w:pPr>
        <w:pStyle w:val="ListBullet"/>
      </w:pPr>
      <w:r>
        <w:t>Specifications document covering materials, fixtures, services, compliance and performance requirements.</w:t>
      </w:r>
    </w:p>
    <w:p>
      <w:pPr>
        <w:pStyle w:val="ListBullet"/>
      </w:pPr>
      <w:r>
        <w:t>Schedules for fittings, fixtures and functional areas supporting procurement and quality checks.</w:t>
      </w:r>
    </w:p>
    <w:p>
      <w:r>
        <w:t>Together these documents establish the technical baseline for procurement, approvals, and site delivery. Any discrepancy is to be resolved through formal RFI/consultant confirmation prior to construction.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