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20EAFDD6" w:rsidR="00565CC5" w:rsidRDefault="00875FF8" w:rsidP="001701F1">
            <w:pPr>
              <w:pBdr>
                <w:bottom w:val="single" w:sz="4" w:space="4" w:color="00314C"/>
              </w:pBdr>
              <w:rPr>
                <w:lang w:val="en-NZ"/>
              </w:rPr>
            </w:pPr>
            <w:r>
              <w:rPr>
                <w:lang w:val="en-NZ"/>
              </w:rPr>
              <w:t>[</w:t>
            </w:r>
            <w:r w:rsidR="00D029E8" w:rsidRPr="00D029E8">
              <w:rPr>
                <w:lang w:val="en-NZ"/>
              </w:rPr>
              <w:t>Project Task 2.2 - Managing Technical and Legal Reports (Part C</w:t>
            </w:r>
            <w:proofErr w:type="gramStart"/>
            <w:r w:rsidR="00D029E8" w:rsidRPr="00D029E8">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482D85DF" w:rsidR="00D029E8" w:rsidRDefault="00D029E8">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49AF7254" w14:textId="77777777" w:rsidR="00D029E8" w:rsidRPr="00D029E8" w:rsidRDefault="00D029E8" w:rsidP="00D029E8">
      <w:pPr>
        <w:spacing w:before="0" w:after="0" w:line="240" w:lineRule="auto"/>
        <w:jc w:val="left"/>
        <w:rPr>
          <w:rFonts w:eastAsia="Arial" w:cstheme="minorHAnsi"/>
          <w:bCs/>
          <w:color w:val="auto"/>
          <w:sz w:val="24"/>
          <w:szCs w:val="24"/>
        </w:rPr>
      </w:pPr>
    </w:p>
    <w:p w14:paraId="6AC1EBA9"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Complete the assessment using provided templates on</w:t>
      </w:r>
    </w:p>
    <w:p w14:paraId="2C7AA8DC"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the LMS and attached this Cover Sheet to your submission.</w:t>
      </w:r>
    </w:p>
    <w:p w14:paraId="78ACBA10" w14:textId="77777777" w:rsidR="00D029E8" w:rsidRPr="00D029E8" w:rsidRDefault="00D029E8" w:rsidP="00D029E8">
      <w:pPr>
        <w:spacing w:before="0" w:after="0" w:line="240" w:lineRule="auto"/>
        <w:jc w:val="left"/>
        <w:rPr>
          <w:rFonts w:eastAsia="Arial" w:cstheme="minorHAnsi"/>
          <w:bCs/>
          <w:color w:val="auto"/>
          <w:sz w:val="24"/>
          <w:szCs w:val="24"/>
        </w:rPr>
      </w:pPr>
    </w:p>
    <w:p w14:paraId="156AF638"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Answer the questions for Part C below:</w:t>
      </w:r>
    </w:p>
    <w:p w14:paraId="4374864E"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 xml:space="preserve">It is proposed that the BAA New Homes Contract will be used between the builder and the client. Review the BAA New Homes Contract Sample and identify five clauses which protect the client interests. </w:t>
      </w:r>
    </w:p>
    <w:p w14:paraId="68512E82"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029E8" w:rsidRPr="00D029E8" w14:paraId="13491253" w14:textId="77777777" w:rsidTr="00D029E8">
        <w:trPr>
          <w:trHeight w:val="1361"/>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r>
              <w:t>Clause 6 - Deposit</w:t>
              <w:br/>
              <w:t>Explanation: This clause limits the builder deposit to legal maximums (5% when the contract price is $20,000 or more, or 10% if under $20,000). It protects the client from paying too much money upfront before substantial work starts. If the builder seeks more than the permitted amount, the client has rights under the Act to void the contract before completion.</w:t>
            </w:r>
          </w:p>
        </w:tc>
      </w:tr>
      <w:tr w:rsidR="00D029E8" w:rsidRPr="00D029E8" w14:paraId="4D98AAC1" w14:textId="77777777" w:rsidTr="00D029E8">
        <w:trPr>
          <w:trHeight w:val="984"/>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r>
              <w:t>Clause 7 - Progress Payments</w:t>
              <w:br/>
              <w:t>Explanation: This clause ties progress payments to defined construction stages and legislated percentage limits. It prevents the builder from demanding payment ahead of actual progress on site. The client is protected from overpayment risk and can verify each stage is complete before releasing funds.</w:t>
            </w:r>
          </w:p>
        </w:tc>
      </w:tr>
      <w:tr w:rsidR="00D029E8" w:rsidRPr="00D029E8" w14:paraId="250D54B6" w14:textId="77777777" w:rsidTr="00D029E8">
        <w:trPr>
          <w:trHeight w:val="1112"/>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r>
              <w:t>Clause 8 - Domestic Building Insurance</w:t>
              <w:br/>
              <w:t>Explanation: This clause requires domestic building insurance and requires key insurance documents to be provided before work proceeds. It protects the client if the builder dies, disappears, or becomes insolvent by providing a pathway for compensation for non-completion or covered defects. The requirement to provide the policy/certificate documents improves transparency before major payments are made.</w:t>
            </w:r>
          </w:p>
        </w:tc>
      </w:tr>
      <w:tr w:rsidR="00D029E8" w:rsidRPr="00D029E8" w14:paraId="5641A5DC" w14:textId="77777777" w:rsidTr="00D029E8">
        <w:trPr>
          <w:trHeight w:val="1128"/>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r>
              <w:t>Clause 23 - Variations</w:t>
              <w:br/>
              <w:t>Explanation: This clause requires written variation notices that set out scope changes, reasons, time impacts and cost impacts. In general, the builder cannot proceed with a variation without the client's signed consent (except limited statutory exceptions). This protects the client from informal scope creep, unexpected price increases, and unapproved delays.</w:t>
            </w:r>
          </w:p>
        </w:tc>
      </w:tr>
      <w:tr w:rsidR="00D029E8" w:rsidRPr="00D029E8" w14:paraId="0F8C2170" w14:textId="77777777" w:rsidTr="00D029E8">
        <w:trPr>
          <w:trHeight w:val="1130"/>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r>
              <w:t>Clause 38 - Termination Other Than After Notice of Default</w:t>
              <w:br/>
              <w:t>Explanation: This clause allows the client to end the contract if cost or time blows out beyond statutory thresholds due to unforeseeable reasons. It protects the client from being locked into an open-ended project where completion time or total cost becomes unreasonable. The clause provides a legal exit mechanism while also setting boundaries on what the builder can recover after termination.</w:t>
            </w:r>
          </w:p>
        </w:tc>
      </w:tr>
    </w:tbl>
    <w:p w14:paraId="0DEB9018" w14:textId="77777777" w:rsidR="00D029E8" w:rsidRPr="00D029E8" w:rsidRDefault="00D029E8" w:rsidP="00D029E8">
      <w:pPr>
        <w:spacing w:before="0" w:after="0" w:line="240" w:lineRule="auto"/>
        <w:jc w:val="left"/>
        <w:rPr>
          <w:rFonts w:ascii="Century Gothic" w:eastAsia="Arial" w:hAnsi="Century Gothic" w:cs="Times New Roman"/>
          <w:b/>
          <w:color w:val="auto"/>
          <w:sz w:val="32"/>
          <w:szCs w:val="20"/>
          <w:u w:val="single"/>
        </w:rPr>
      </w:pPr>
    </w:p>
    <w:p w14:paraId="1575896A"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0D85C" w14:textId="77777777" w:rsidR="006A562E" w:rsidRDefault="006A562E" w:rsidP="004A0798">
      <w:pPr>
        <w:spacing w:before="0" w:after="0" w:line="240" w:lineRule="auto"/>
      </w:pPr>
      <w:r>
        <w:separator/>
      </w:r>
    </w:p>
  </w:endnote>
  <w:endnote w:type="continuationSeparator" w:id="0">
    <w:p w14:paraId="2125222A" w14:textId="77777777" w:rsidR="006A562E" w:rsidRDefault="006A562E"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974D7A0"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D029E8">
      <w:rPr>
        <w:rFonts w:cstheme="minorHAnsi"/>
        <w:color w:val="0A3254"/>
        <w:sz w:val="20"/>
        <w:szCs w:val="20"/>
        <w:lang w:eastAsia="en-AU"/>
      </w:rPr>
      <w:t>2</w:t>
    </w:r>
    <w:r w:rsidR="001745F3">
      <w:rPr>
        <w:rFonts w:cstheme="minorHAnsi"/>
        <w:color w:val="0A3254"/>
        <w:sz w:val="20"/>
        <w:szCs w:val="20"/>
        <w:lang w:eastAsia="en-AU"/>
      </w:rPr>
      <w:t xml:space="preserve"> Part </w:t>
    </w:r>
    <w:r w:rsidR="00D029E8">
      <w:rPr>
        <w:rFonts w:cstheme="minorHAnsi"/>
        <w:color w:val="0A3254"/>
        <w:sz w:val="20"/>
        <w:szCs w:val="20"/>
        <w:lang w:eastAsia="en-AU"/>
      </w:rPr>
      <w:t>C</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DC4C" w14:textId="77777777" w:rsidR="006A562E" w:rsidRDefault="006A562E" w:rsidP="004A0798">
      <w:pPr>
        <w:spacing w:before="0" w:after="0" w:line="240" w:lineRule="auto"/>
      </w:pPr>
      <w:r>
        <w:separator/>
      </w:r>
    </w:p>
  </w:footnote>
  <w:footnote w:type="continuationSeparator" w:id="0">
    <w:p w14:paraId="1FD8BA87" w14:textId="77777777" w:rsidR="006A562E" w:rsidRDefault="006A562E"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fR9zsyMWNy4bJrQeQpXG+Of7n47U6t+/+uYia/F++4ZQ7J4+hHqf+Y+a7gj2PeKqDxAD9SmJntXqmgKIr/sttA==" w:salt="3rdJGDXeccTW5r/gs44Ud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A562E"/>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4706"/>
    <w:rsid w:val="008A65C3"/>
    <w:rsid w:val="008E66B3"/>
    <w:rsid w:val="009704C0"/>
    <w:rsid w:val="00971BE6"/>
    <w:rsid w:val="009B458A"/>
    <w:rsid w:val="009D4038"/>
    <w:rsid w:val="009E6B5D"/>
    <w:rsid w:val="00A027A1"/>
    <w:rsid w:val="00A04DC7"/>
    <w:rsid w:val="00A325C4"/>
    <w:rsid w:val="00A5479C"/>
    <w:rsid w:val="00A76757"/>
    <w:rsid w:val="00AA0F85"/>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029E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61802112">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225606490">
      <w:bodyDiv w:val="1"/>
      <w:marLeft w:val="0"/>
      <w:marRight w:val="0"/>
      <w:marTop w:val="0"/>
      <w:marBottom w:val="0"/>
      <w:divBdr>
        <w:top w:val="none" w:sz="0" w:space="0" w:color="auto"/>
        <w:left w:val="none" w:sz="0" w:space="0" w:color="auto"/>
        <w:bottom w:val="none" w:sz="0" w:space="0" w:color="auto"/>
        <w:right w:val="none" w:sz="0" w:space="0" w:color="auto"/>
      </w:divBdr>
    </w:div>
    <w:div w:id="335116868">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021932980">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522</Words>
  <Characters>2980</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2025-07-31T01:39:00Z</dcterms:created>
  <dcterms:modified xsi:type="dcterms:W3CDTF">2025-07-31T01:45:00Z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