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06 March 2026</w:t>
      </w:r>
    </w:p>
    <w:p>
      <w:r>
        <w:t>Client</w:t>
        <w:br/>
        <w:t>Lot 31 Project</w:t>
        <w:br/>
        <w:t>3 Oskar Court</w:t>
        <w:br/>
        <w:t>Pakenham VIC 3810</w:t>
      </w:r>
    </w:p>
    <w:p>
      <w:r>
        <w:t>Project Reference: Lot 31, 3 Oskar Court - HWS Slab Thickness Non-Conformance</w:t>
      </w:r>
    </w:p>
    <w:p>
      <w:r>
        <w:t>Subject: Formal Notice - Slab Thickness Discrepancy and Dispute Resolution Process</w:t>
      </w:r>
    </w:p>
    <w:p>
      <w:r>
        <w:t>Dear Client,</w:t>
      </w:r>
    </w:p>
    <w:p>
      <w:r>
        <w:t>This letter acknowledges your concern regarding the slab thickness supporting the hot water service (HWS). A site verification has been completed, and this correspondence sets out the technical discrepancy, associated risks, and the formal process to resolve the matter in accordance with the contract.</w:t>
      </w:r>
    </w:p>
    <w:p>
      <w:pPr>
        <w:pStyle w:val="Heading2"/>
      </w:pPr>
      <w:r>
        <w:t>A. Correct Specification</w:t>
      </w:r>
    </w:p>
    <w:p>
      <w:r>
        <w:t>The approved construction drawings specify that the slab supporting the hot water service is to be 150mm thick. This specification forms part of the contract documents and defines the required structural standard for the installed element. The intent of this requirement is to provide adequate support capacity, reduce serviceability risk, and maintain compliance with the approved design.</w:t>
      </w:r>
    </w:p>
    <w:p>
      <w:pPr>
        <w:pStyle w:val="Heading2"/>
      </w:pPr>
      <w:r>
        <w:t>B. Issue Identified on Site</w:t>
      </w:r>
    </w:p>
    <w:p>
      <w:r>
        <w:t>Site inspection and measurement have confirmed that the constructed slab thickness is 120mm. This is a 30mm shortfall compared with the approved 150mm requirement and represents a non-conformance to the documented specification. The discrepancy has been recorded in project inspection notes for formal assessment and rectification decision-making.</w:t>
      </w:r>
    </w:p>
    <w:p>
      <w:pPr>
        <w:pStyle w:val="Heading2"/>
      </w:pPr>
      <w:r>
        <w:t>C. Possible Issues From Reduced Slab Thickness</w:t>
      </w:r>
    </w:p>
    <w:p>
      <w:r>
        <w:t>A reduced slab thickness may lower load-bearing performance and increase the likelihood of cracking, local deflection, or reduced durability over time. It may also create a compliance issue against the approved plans and contract requirements, potentially affecting acceptance at completion. If left unresolved, this could lead to future maintenance costs or dispute about workmanship quality and contractual compliance.</w:t>
      </w:r>
    </w:p>
    <w:p>
      <w:pPr>
        <w:pStyle w:val="Heading2"/>
      </w:pPr>
      <w:r>
        <w:t>D. Possible Actions to Resolve the Issue</w:t>
      </w:r>
    </w:p>
    <w:p>
      <w:r>
        <w:t>The proposed resolution pathway is as follows:</w:t>
      </w:r>
    </w:p>
    <w:p>
      <w:pPr>
        <w:pStyle w:val="ListBullet"/>
      </w:pPr>
      <w:r>
        <w:t>Commission a structural engineer inspection and written assessment of the as-built 120mm slab condition.</w:t>
      </w:r>
    </w:p>
    <w:p>
      <w:pPr>
        <w:pStyle w:val="ListBullet"/>
      </w:pPr>
      <w:r>
        <w:t>If engineer deems the slab insufficient, undertake rectification works to achieve compliant support.</w:t>
      </w:r>
    </w:p>
    <w:p>
      <w:pPr>
        <w:pStyle w:val="ListBullet"/>
      </w:pPr>
      <w:r>
        <w:t>If engineer confirms adequacy, obtain formal engineering certification and client acceptance in writing.</w:t>
      </w:r>
    </w:p>
    <w:p>
      <w:pPr>
        <w:pStyle w:val="ListBullet"/>
      </w:pPr>
      <w:r>
        <w:t>Document all outcomes, responsibilities and agreed actions as a contract record between builder and client.</w:t>
      </w:r>
    </w:p>
    <w:p>
      <w:pPr>
        <w:pStyle w:val="ListBullet"/>
      </w:pPr>
      <w:r>
        <w:t>If agreement is not reached, escalate through the formal dispute resolution process under Clause 34 of the BAA New Homes Contract, including Notice of Dispute (Form N) if required.</w:t>
      </w:r>
    </w:p>
    <w:p>
      <w:pPr>
        <w:pStyle w:val="Heading2"/>
      </w:pPr>
      <w:r>
        <w:t>E. Expert Testimony and Evidence</w:t>
      </w:r>
    </w:p>
    <w:p>
      <w:r>
        <w:t>If this matter escalates, I can provide expert factual evidence from project records, including approved drawings, site inspection reports, photographs, concrete pour records, engineering correspondence, and contract documentation. This evidence can support technical review, conciliation, and any formal dispute process to ensure a fair and compliant outcome.</w:t>
      </w:r>
    </w:p>
    <w:p>
      <w:pPr>
        <w:pStyle w:val="Heading2"/>
      </w:pPr>
      <w:r>
        <w:t>Contract Procedure Reference</w:t>
      </w:r>
    </w:p>
    <w:p>
      <w:r>
        <w:t>This communication is issued consistently with contract obligations requiring the work to be delivered in accordance with contract documents (including plans/specifications), and with dispute management mechanisms under the contract. Where disagreement persists after good-faith discussions, the matter should proceed under Clause 34 (Dispute Resolution Procedure) with documented notices and responses.</w:t>
      </w:r>
    </w:p>
    <w:p>
      <w:r>
        <w:t>Please confirm your preferred next step (engineering review and rectification assessment) so we can progress resolution without delay.</w:t>
      </w:r>
    </w:p>
    <w:p>
      <w:r>
        <w:t>Regards</w:t>
      </w:r>
    </w:p>
    <w:p>
      <w:r>
        <w:t>Nagar Student</w:t>
        <w:br/>
        <w:t>Project Manager / Site Supervisor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