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1826"/>
          <w:sz w:val="36"/>
        </w:rPr>
        <w:t>Autorização para Atendimento de Menor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Paciente/cliente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Responsável, se houver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Modalidade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Valor/honorários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Frequência e duração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Condições combinadas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Cláusulas / condições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Natureza e limites do atendimento foram explicados.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Valores, frequência, faltas e remarcações foram combinados.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Sigilo e exceções foram apresentados.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No atendimento online, foram combinados plataforma, privacidade e condições técnicas.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No atendimento de menor, há ciência/assinatura do responsável.</w:t>
      </w:r>
    </w:p>
    <w:p>
      <w:pPr>
        <w:spacing w:before="160" w:after="80"/>
      </w:pPr>
      <w:r>
        <w:rPr>
          <w:b/>
          <w:color w:val="0B1826"/>
          <w:sz w:val="24"/>
        </w:rPr>
        <w:t>Combinados específicos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2268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Assinaturas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453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Local e data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 responsável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Paciente/responsável, quando aplicável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B18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8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Autoriza o para Atendimento de Menor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