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1826"/>
          <w:sz w:val="36"/>
        </w:rPr>
        <w:t>Autorização para Troca de Informações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Paciente/cliente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Responsável, se houver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Profissional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Modalidade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Valor/honorários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Frequência e duração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Condições combinadas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Cláusulas / condições</w:t>
      </w:r>
    </w:p>
    <w:p>
      <w:pPr>
        <w:spacing w:after="80"/>
        <w:ind w:left="113"/>
      </w:pPr>
      <w:r>
        <w:rPr>
          <w:rFonts w:ascii="Arial" w:hAnsi="Arial"/>
          <w:color w:val="0B1826"/>
          <w:sz w:val="20"/>
        </w:rPr>
        <w:t>☐  Natureza e limites do atendimento foram explicados.</w:t>
      </w:r>
    </w:p>
    <w:p>
      <w:pPr>
        <w:spacing w:after="80"/>
        <w:ind w:left="113"/>
      </w:pPr>
      <w:r>
        <w:rPr>
          <w:rFonts w:ascii="Arial" w:hAnsi="Arial"/>
          <w:color w:val="0B1826"/>
          <w:sz w:val="20"/>
        </w:rPr>
        <w:t>☐  Valores, frequência, faltas e remarcações foram combinados.</w:t>
      </w:r>
    </w:p>
    <w:p>
      <w:pPr>
        <w:spacing w:after="80"/>
        <w:ind w:left="113"/>
      </w:pPr>
      <w:r>
        <w:rPr>
          <w:rFonts w:ascii="Arial" w:hAnsi="Arial"/>
          <w:color w:val="0B1826"/>
          <w:sz w:val="20"/>
        </w:rPr>
        <w:t>☐  Sigilo e exceções foram apresentados.</w:t>
      </w:r>
    </w:p>
    <w:p>
      <w:pPr>
        <w:spacing w:after="80"/>
        <w:ind w:left="113"/>
      </w:pPr>
      <w:r>
        <w:rPr>
          <w:rFonts w:ascii="Arial" w:hAnsi="Arial"/>
          <w:color w:val="0B1826"/>
          <w:sz w:val="20"/>
        </w:rPr>
        <w:t>☐  No atendimento online, foram combinados plataforma, privacidade e condições técnicas.</w:t>
      </w:r>
    </w:p>
    <w:p>
      <w:pPr>
        <w:spacing w:after="80"/>
        <w:ind w:left="113"/>
      </w:pPr>
      <w:r>
        <w:rPr>
          <w:rFonts w:ascii="Arial" w:hAnsi="Arial"/>
          <w:color w:val="0B1826"/>
          <w:sz w:val="20"/>
        </w:rPr>
        <w:t>☐  No atendimento de menor, há ciência/assinatura do responsável.</w:t>
      </w:r>
    </w:p>
    <w:p>
      <w:pPr>
        <w:spacing w:before="160" w:after="80"/>
      </w:pPr>
      <w:r>
        <w:rPr>
          <w:b/>
          <w:color w:val="0B1826"/>
          <w:sz w:val="24"/>
        </w:rPr>
        <w:t>Combinados específicos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2268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Assinaturas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453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Local e data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680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Profissional responsável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680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Paciente/responsável, quando aplicável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B18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B18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 Autoriza o para Troca de Informa es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