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1826"/>
          <w:sz w:val="36"/>
        </w:rPr>
        <w:t>Encaminhamento para Neurologia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Paciente/cliente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 que encaminha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Profissional/serviço de destino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Motivo do encaminhamento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Informações relevantes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567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Contato para retorno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Motivo e informações úteis para o encaminhamento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rPr>
          <w:trHeight w:val="2551" w:hRule="atLeast"/>
        </w:trPr>
        <w:tc>
          <w:tcPr>
            <w:tcW w:type="dxa" w:w="10312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  <w:shd w:fill="FFFFFF"/>
          </w:tcPr>
          <w:p>
            <w:r/>
          </w:p>
        </w:tc>
      </w:tr>
    </w:tbl>
    <w:p/>
    <w:p>
      <w:pPr>
        <w:spacing w:before="160" w:after="80"/>
      </w:pPr>
      <w:r>
        <w:rPr>
          <w:b/>
          <w:color w:val="0B1826"/>
          <w:sz w:val="24"/>
        </w:rPr>
        <w:t>Assinaturas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rHeight w:val="453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Local e data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Profissional responsável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  <w:tr>
        <w:trPr>
          <w:trHeight w:val="680" w:hRule="atLeast"/>
        </w:trPr>
        <w:tc>
          <w:tcPr>
            <w:tcW w:type="dxa" w:w="2835"/>
            <w:vAlign w:val="center"/>
            <w:shd w:fill="F6F3ED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>
              <w:rPr>
                <w:b/>
                <w:color w:val="0B1826"/>
                <w:sz w:val="19"/>
              </w:rPr>
              <w:t>Paciente/responsável, quando aplicável</w:t>
            </w:r>
          </w:p>
        </w:tc>
        <w:tc>
          <w:tcPr>
            <w:tcW w:type="dxa" w:w="7087"/>
            <w:vAlign w:val="center"/>
            <w:shd w:fill="FFFFFF"/>
            <w:tcBorders>
              <w:top w:val="single" w:sz="6" w:color="B7BDC7" w:space="0"/>
              <w:left w:val="single" w:sz="6" w:color="B7BDC7" w:space="0"/>
              <w:bottom w:val="single" w:sz="6" w:color="B7BDC7" w:space="0"/>
              <w:right w:val="single" w:sz="6" w:color="B7BDC7" w:space="0"/>
            </w:tcBorders>
          </w:tcPr>
          <w:p>
            <w:r/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B18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182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B18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 Encaminhamento para Neurologia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