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1826"/>
          <w:sz w:val="36"/>
        </w:rPr>
        <w:t>Encaminhamento para Terapia Ocupacional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Paciente/cliente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Profissional que encaminha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Profissional/serviço de destino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Motivo do encaminhamento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Informações relevantes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Contato para retorno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</w:tbl>
    <w:p/>
    <w:p>
      <w:pPr>
        <w:spacing w:before="160" w:after="80"/>
      </w:pPr>
      <w:r>
        <w:rPr>
          <w:b/>
          <w:color w:val="0B1826"/>
          <w:sz w:val="24"/>
        </w:rPr>
        <w:t>Motivo e informações úteis para o encaminhamento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rHeight w:val="2551" w:hRule="atLeast"/>
        </w:trPr>
        <w:tc>
          <w:tcPr>
            <w:tcW w:type="dxa" w:w="10312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  <w:shd w:fill="FFFFFF"/>
          </w:tcPr>
          <w:p>
            <w:r/>
          </w:p>
        </w:tc>
      </w:tr>
    </w:tbl>
    <w:p/>
    <w:p>
      <w:pPr>
        <w:spacing w:before="160" w:after="80"/>
      </w:pPr>
      <w:r>
        <w:rPr>
          <w:b/>
          <w:color w:val="0B1826"/>
          <w:sz w:val="24"/>
        </w:rPr>
        <w:t>Assinaturas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rHeight w:val="453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Local e data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680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Profissional responsável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680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Paciente/responsável, quando aplicável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64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B18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182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B182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B182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28 Encaminhamento para Terapia Ocupacional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