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Autorização para Emissão e Envio de Documentos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Responsável, se houver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Modalidade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Valor/honorários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Frequência e duração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Condições combinadas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Cláusulas / condições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Natureza e limites do atendimento foram explicados.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Valores, frequência, faltas e remarcações foram combinados.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Sigilo e exceções foram apresentados.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online, foram combinados plataforma, privacidade e condições técnicas.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de menor, há ciência/assinatura do responsável.</w:t>
      </w:r>
    </w:p>
    <w:p>
      <w:pPr>
        <w:spacing w:before="160" w:after="80"/>
      </w:pPr>
      <w:r>
        <w:rPr>
          <w:b/>
          <w:color w:val="0B1826"/>
          <w:sz w:val="24"/>
        </w:rPr>
        <w:t>Combinados específicos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 Autoriza o para Emiss o e Envio de Documentos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