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Checklist Antes de Emitir Laudo ou Parecer</w:t>
      </w:r>
    </w:p>
    <w:p>
      <w:pPr>
        <w:spacing w:before="160" w:after="80"/>
      </w:pPr>
      <w:r>
        <w:rPr>
          <w:b/>
          <w:color w:val="0B1826"/>
          <w:sz w:val="24"/>
        </w:rPr>
        <w:t>Checklist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Confirmar se o documento é realmente necessário.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Verificar competência técnica para a finalidade solicitada.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Confirmar fontes, procedimentos e registros utilizados.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Evitar conclusões sem sustentação técnica.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Revisar sigilo, finalidade e destinatário.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Conferir referências, rubricas e assinatura quando aplicável.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Guardar cópia conforme obrigação profissional.</w:t>
      </w:r>
    </w:p>
    <w:p>
      <w:pPr>
        <w:spacing w:before="160" w:after="80"/>
      </w:pPr>
      <w:r>
        <w:rPr>
          <w:b/>
          <w:color w:val="0B1826"/>
          <w:sz w:val="24"/>
        </w:rPr>
        <w:t>Observações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 Checklist Antes de Emitir Laudo ou Parecer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