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67E3A"/>
          <w:sz w:val="18"/>
        </w:rPr>
        <w:t>KIT PRIMEIRAS SESSÕES</w:t>
      </w:r>
    </w:p>
    <w:p>
      <w:pPr>
        <w:jc w:val="center"/>
      </w:pPr>
      <w:r>
        <w:rPr>
          <w:rFonts w:ascii="Arial" w:hAnsi="Arial"/>
          <w:b/>
          <w:color w:val="0F1F2F"/>
          <w:sz w:val="44"/>
        </w:rPr>
        <w:t>Guia de Uso - Versões Psicanálise</w:t>
      </w:r>
    </w:p>
    <w:p>
      <w:pPr>
        <w:jc w:val="center"/>
      </w:pPr>
      <w:r>
        <w:rPr>
          <w:rFonts w:ascii="Arial" w:hAnsi="Arial"/>
          <w:color w:val="50565E"/>
          <w:sz w:val="21"/>
        </w:rPr>
        <w:t>Como utilizar os materiais de orientação psicanalítica/psicodinâmica dentro do Kit Primeiras Sessões</w:t>
      </w:r>
    </w:p>
    <w:p>
      <w:pPr>
        <w:jc w:val="center"/>
      </w:pPr>
      <w:r>
        <w:rPr>
          <w:rFonts w:ascii="Arial" w:hAnsi="Arial"/>
          <w:b/>
          <w:color w:val="A67E3A"/>
          <w:sz w:val="18"/>
        </w:rPr>
        <w:t>Versão Psicanálise / Psicodinâmica</w:t>
      </w:r>
    </w:p>
    <w:p>
      <w:pPr>
        <w:spacing w:after="160"/>
        <w:pBdr>
          <w:bottom w:val="single" w:sz="8" w:space="1" w:color="D8C7A5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7F0"/>
            <w:tcBorders>
              <w:top w:sz="6" w:val="single" w:color="D8C7A5"/>
              <w:left w:sz="6" w:val="single" w:color="D8C7A5"/>
              <w:bottom w:sz="6" w:val="single" w:color="D8C7A5"/>
              <w:right w:sz="6" w:val="single" w:color="D8C7A5"/>
            </w:tcBorders>
          </w:tcPr>
          <w:p>
            <w:r>
              <w:rPr>
                <w:b/>
                <w:color w:val="0F1F2F"/>
              </w:rPr>
              <w:t xml:space="preserve">Nota de uso: </w:t>
            </w:r>
            <w:r>
              <w:t>material de apoio para organização clínica e reflexão. Deve ser adaptado ao caso, à abordagem, ao contrato terapêutico e aos limites éticos da prática profissional. Não substitui supervisão, avaliação de risco, prontuário formal ou encaminhamento quando necessário.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Objetivo</w:t>
      </w:r>
    </w:p>
    <w:p>
      <w:r>
        <w:t>Este guia organiza os materiais da versão Psicanálise do Kit Primeiras Sessões. A proposta não é transformar a escuta clínica em um protocolo rígido, mas oferecer uma base prática para orientar o profissional iniciante na condução, registro, preparação e acompanhamento dos primeiros atendimentos.</w:t>
      </w:r>
    </w:p>
    <w:p>
      <w:pPr>
        <w:pStyle w:val="Heading1"/>
        <w:spacing w:before="120" w:after="80"/>
      </w:pPr>
      <w:r>
        <w:rPr>
          <w:b/>
        </w:rPr>
        <w:t>Como usar sem perder a escuta</w:t>
      </w:r>
    </w:p>
    <w:p>
      <w:pPr>
        <w:pStyle w:val="ListBullet"/>
        <w:ind w:left="360"/>
      </w:pPr>
      <w:r>
        <w:t>Use os instrumentos como apoio de reflexão, não como roteiro fechado de interpretação.</w:t>
      </w:r>
    </w:p>
    <w:p>
      <w:pPr>
        <w:pStyle w:val="ListBullet"/>
        <w:ind w:left="360"/>
      </w:pPr>
      <w:r>
        <w:t>Convide o paciente a falar livremente sempre que possível; os campos do material servem para organizar, não para interromper o processo associativo.</w:t>
      </w:r>
    </w:p>
    <w:p>
      <w:pPr>
        <w:pStyle w:val="ListBullet"/>
        <w:ind w:left="360"/>
      </w:pPr>
      <w:r>
        <w:t>Observe repetições, afetos, modos de vínculo, silêncios, contradições, temas que retornam e posições subjetivas.</w:t>
      </w:r>
    </w:p>
    <w:p>
      <w:pPr>
        <w:pStyle w:val="ListBullet"/>
        <w:ind w:left="360"/>
      </w:pPr>
      <w:r>
        <w:t>Evite explicar tudo ao paciente de forma apressada; muitas vezes o material serve para o terapeuta sustentar perguntas e hipóteses, não para concluir.</w:t>
      </w:r>
    </w:p>
    <w:p>
      <w:pPr>
        <w:pStyle w:val="ListBullet"/>
        <w:ind w:left="360"/>
      </w:pPr>
      <w:r>
        <w:t>Em casos de risco, crise, ideação suicida, violência, psicose ou grave desorganização, priorize avaliação clínica, rede de apoio, supervisão e encaminhamento quando necessário.</w:t>
      </w:r>
    </w:p>
    <w:p>
      <w:pPr>
        <w:pStyle w:val="Heading1"/>
        <w:spacing w:before="120" w:after="80"/>
      </w:pPr>
      <w:r>
        <w:rPr>
          <w:b/>
        </w:rPr>
        <w:t>Sugestão de sequência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3427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Material indicado</w:t>
            </w:r>
          </w:p>
        </w:tc>
        <w:tc>
          <w:tcPr>
            <w:tcW w:type="dxa" w:w="3427"/>
            <w:shd w:fill="102033"/>
            <w:tcBorders>
              <w:top w:sz="4" w:val="single" w:color="102033"/>
              <w:left w:sz="4" w:val="single" w:color="102033"/>
              <w:bottom w:sz="4" w:val="single" w:color="102033"/>
              <w:right w:sz="4" w:val="single" w:color="102033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Uso clínico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427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427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3427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427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427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427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427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3427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427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427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427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427"/>
            <w:vAlign w:val="top"/>
          </w:tcPr>
          <w:p>
            <w:pPr>
              <w:spacing w:after="320"/>
            </w:pPr>
            <w:r>
              <w:t xml:space="preserve"> </w:t>
            </w:r>
          </w:p>
        </w:tc>
      </w:tr>
      <w:tr>
        <w:tc>
          <w:tcPr>
            <w:tcW w:type="dxa" w:w="3427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427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  <w:tc>
          <w:tcPr>
            <w:tcW w:type="dxa" w:w="3427"/>
            <w:vAlign w:val="top"/>
            <w:shd w:fill="FBFAF7"/>
          </w:tcPr>
          <w:p>
            <w:pPr>
              <w:spacing w:after="320"/>
            </w:pPr>
            <w:r>
              <w:t xml:space="preserve"> 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65E"/>
        <w:sz w:val="16"/>
      </w:rPr>
      <w:t>Kit Primeiras Sessões - Material de apoio clínico | Versão editável para adaptação profissional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9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F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F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