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08A3C"/>
          <w:sz w:val="16"/>
        </w:rPr>
        <w:t>KIT PRIMEIRAS SESSÕES</w:t>
      </w:r>
    </w:p>
    <w:p>
      <w:pPr>
        <w:jc w:val="center"/>
      </w:pPr>
      <w:r>
        <w:rPr>
          <w:rFonts w:ascii="Georgia" w:hAnsi="Georgia"/>
          <w:b/>
          <w:color w:val="0E1B2A"/>
          <w:sz w:val="48"/>
        </w:rPr>
        <w:t>Comece por aqui</w:t>
      </w:r>
    </w:p>
    <w:p>
      <w:pPr>
        <w:jc w:val="center"/>
      </w:pPr>
      <w:r>
        <w:rPr>
          <w:rFonts w:ascii="Arial" w:hAnsi="Arial"/>
          <w:color w:val="666666"/>
          <w:sz w:val="21"/>
        </w:rPr>
        <w:t>Mapa simples para usar o kit sem se perder nos materiais.</w:t>
      </w:r>
    </w:p>
    <w:p>
      <w:pPr>
        <w:jc w:val="center"/>
      </w:pPr>
      <w:r>
        <w:rPr>
          <w:rFonts w:ascii="Arial" w:hAnsi="Arial"/>
          <w:b/>
          <w:color w:val="B08A3C"/>
          <w:sz w:val="18"/>
        </w:rPr>
        <w:t>Versão Psicanálise</w:t>
      </w:r>
    </w:p>
    <w:p>
      <w:pPr>
        <w:spacing w:before="40" w:after="80"/>
        <w:pBdr>
          <w:bottom w:val="single" w:sz="8" w:space="1" w:color="B08A3C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Objetivo do material</w:t>
            </w:r>
            <w:r>
              <w:rPr>
                <w:sz w:val="18"/>
              </w:rPr>
              <w:br/>
              <w:t>Ajudar o profissional a escolher rapidamente qual recurso usar antes, durante e depois das primeiras sessões, mantendo foco em acolhimento, enquadre, história do sujeito, afetos, repetições, defesas, demanda e manejo clínico.</w:t>
            </w:r>
          </w:p>
        </w:tc>
      </w:tr>
    </w:tbl>
    <w:p/>
    <w:p>
      <w:pPr>
        <w:pStyle w:val="Heading2"/>
      </w:pPr>
      <w:r>
        <w:t>Ordem sugerida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0E1B2A"/>
          </w:tcPr>
          <w:p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3168"/>
            <w:shd w:fill="0E1B2A"/>
          </w:tcPr>
          <w:p>
            <w:r>
              <w:rPr>
                <w:b/>
                <w:color w:val="FFFFFF"/>
                <w:sz w:val="17"/>
              </w:rPr>
              <w:t>Material indicado</w:t>
            </w:r>
          </w:p>
        </w:tc>
        <w:tc>
          <w:tcPr>
            <w:tcW w:type="dxa" w:w="4896"/>
            <w:shd w:fill="0E1B2A"/>
          </w:tcPr>
          <w:p>
            <w:r>
              <w:rPr>
                <w:b/>
                <w:color w:val="FFFFFF"/>
                <w:sz w:val="17"/>
              </w:rPr>
              <w:t>Para que serve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Primeiro contato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Mensagens profissionais para WhatsApp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Responder com clareza, explicar o enquadre e reduzir dúvidas iniciais.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Antes da primeira sessão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Checklist da Sessão Segura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Organizar dados, ambiente, limites, horário e forma de pagamento.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Sessão 1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Roteiro Prático das 3 Primeiras Sessões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Acolher, escutar a demanda, estabelecer enquadre e combinar continuidade.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Sessão 2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Roteiro + Anamnese + perguntas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Aprofundar história, vínculos, afetos, repetições e formas de sofrimento.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Sessão 3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Roteiro + Registro pós-sessão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Organizar hipóteses iniciais, manejo, continuidade e pontos de atenção.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Entre sessões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Materiais reflexivos para paciente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Usar registros apenas quando fizer sentido ao caso e ao manejo.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Depois da sessão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Modelo de Registro Pós-Sessão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Registrar escuta, demanda, afetos, repetições, manejo e observações éticas.</w:t>
            </w:r>
          </w:p>
        </w:tc>
      </w:tr>
    </w:tbl>
    <w:p/>
    <w:p>
      <w:pPr>
        <w:pStyle w:val="Heading2"/>
      </w:pPr>
      <w:r>
        <w:t>Fluxo prático em 5 passos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Receba o contato com uma resposta profissional e simples.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Confirme dados básicos, formato, valor e horário antes da sessão.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Conduza a sessão com roteiro, mas sem engessar a escuta.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Registre os pontos principais logo após o atendimento.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Escolha materiais para paciente apenas quando fizer sentido clínico.</w:t>
      </w:r>
    </w:p>
    <w:p>
      <w:pPr>
        <w:pStyle w:val="Heading2"/>
      </w:pPr>
      <w:r>
        <w:t>Atenção profissional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Importante</w:t>
            </w:r>
            <w:r>
              <w:rPr>
                <w:sz w:val="18"/>
              </w:rPr>
              <w:br/>
              <w:t>Este kit é um apoio prático. Ele não substitui formação, supervisão, análise/terapia pessoal, estudo de caso, responsabilidade ética ou avaliação de risco. Adapte tudo ao seu público, abordagem, contexto e regulamentação profissional.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4"/>
      </w:rPr>
      <w:t>Material de apoio profissional - adapte ao seu contexto, abordagem e responsabilidade técnica.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66666"/>
        <w:sz w:val="16"/>
      </w:rPr>
      <w:t>Kit Primeiras Sessões | Versão Psicanálise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41C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