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A67E3A"/>
          <w:sz w:val="18"/>
        </w:rPr>
        <w:t>KIT PRIMEIRAS SESSÕES</w:t>
      </w:r>
    </w:p>
    <w:p>
      <w:pPr>
        <w:jc w:val="center"/>
      </w:pPr>
      <w:r>
        <w:rPr>
          <w:rFonts w:ascii="Arial" w:hAnsi="Arial"/>
          <w:b/>
          <w:color w:val="0F1F2F"/>
          <w:sz w:val="44"/>
        </w:rPr>
        <w:t>Linha do Tempo dos Afetos</w:t>
      </w:r>
    </w:p>
    <w:p>
      <w:pPr>
        <w:jc w:val="center"/>
      </w:pPr>
      <w:r>
        <w:rPr>
          <w:rFonts w:ascii="Arial" w:hAnsi="Arial"/>
          <w:color w:val="50565E"/>
          <w:sz w:val="21"/>
        </w:rPr>
        <w:t>Mapa simples para observar fases da vida, sofrimento, vínculos e repetições</w:t>
      </w:r>
    </w:p>
    <w:p>
      <w:pPr>
        <w:jc w:val="center"/>
      </w:pPr>
      <w:r>
        <w:rPr>
          <w:rFonts w:ascii="Arial" w:hAnsi="Arial"/>
          <w:b/>
          <w:color w:val="A67E3A"/>
          <w:sz w:val="18"/>
        </w:rPr>
        <w:t>Versão Psicanálise / Psicodinâmica</w:t>
      </w:r>
    </w:p>
    <w:p>
      <w:pPr>
        <w:spacing w:after="160"/>
        <w:pBdr>
          <w:bottom w:val="single" w:sz="8" w:space="1" w:color="D8C7A5"/>
        </w:pBdr>
      </w:pP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AF7F0"/>
            <w:tcBorders>
              <w:top w:sz="6" w:val="single" w:color="D8C7A5"/>
              <w:left w:sz="6" w:val="single" w:color="D8C7A5"/>
              <w:bottom w:sz="6" w:val="single" w:color="D8C7A5"/>
              <w:right w:sz="6" w:val="single" w:color="D8C7A5"/>
            </w:tcBorders>
          </w:tcPr>
          <w:p>
            <w:r>
              <w:rPr>
                <w:b/>
                <w:color w:val="0F1F2F"/>
              </w:rPr>
              <w:t xml:space="preserve">Nota de uso: </w:t>
            </w:r>
            <w:r>
              <w:t>material de apoio para organização clínica e reflexão. Deve ser adaptado ao caso, à abordagem, ao contrato terapêutico e aos limites éticos da prática profissional. Não substitui supervisão, avaliação de risco, prontuário formal ou encaminhamento quando necessário.</w:t>
            </w:r>
          </w:p>
        </w:tc>
      </w:tr>
    </w:tbl>
    <w:p/>
    <w:p>
      <w:pPr>
        <w:pStyle w:val="Heading1"/>
        <w:spacing w:before="120" w:after="80"/>
      </w:pPr>
      <w:r>
        <w:rPr>
          <w:b/>
        </w:rPr>
        <w:t>Instruções</w:t>
      </w:r>
    </w:p>
    <w:p>
      <w:r>
        <w:t>Preencha por fases da vida. Não é necessário lembrar tudo com precisão. O objetivo é localizar períodos, afetos e temas que se repetem ao longo da história.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1584"/>
            <w:shd w:fill="102033"/>
            <w:tcBorders>
              <w:top w:sz="4" w:val="single" w:color="102033"/>
              <w:left w:sz="4" w:val="single" w:color="102033"/>
              <w:bottom w:sz="4" w:val="single" w:color="102033"/>
              <w:right w:sz="4" w:val="single" w:color="1020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Período/idade</w:t>
            </w:r>
          </w:p>
        </w:tc>
        <w:tc>
          <w:tcPr>
            <w:tcW w:type="dxa" w:w="2592"/>
            <w:shd w:fill="102033"/>
            <w:tcBorders>
              <w:top w:sz="4" w:val="single" w:color="102033"/>
              <w:left w:sz="4" w:val="single" w:color="102033"/>
              <w:bottom w:sz="4" w:val="single" w:color="102033"/>
              <w:right w:sz="4" w:val="single" w:color="1020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Eventos marcantes</w:t>
            </w:r>
          </w:p>
        </w:tc>
        <w:tc>
          <w:tcPr>
            <w:tcW w:type="dxa" w:w="2160"/>
            <w:shd w:fill="102033"/>
            <w:tcBorders>
              <w:top w:sz="4" w:val="single" w:color="102033"/>
              <w:left w:sz="4" w:val="single" w:color="102033"/>
              <w:bottom w:sz="4" w:val="single" w:color="102033"/>
              <w:right w:sz="4" w:val="single" w:color="1020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Afetos predominantes</w:t>
            </w:r>
          </w:p>
        </w:tc>
        <w:tc>
          <w:tcPr>
            <w:tcW w:type="dxa" w:w="2160"/>
            <w:shd w:fill="102033"/>
            <w:tcBorders>
              <w:top w:sz="4" w:val="single" w:color="102033"/>
              <w:left w:sz="4" w:val="single" w:color="102033"/>
              <w:bottom w:sz="4" w:val="single" w:color="102033"/>
              <w:right w:sz="4" w:val="single" w:color="1020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Vínculos importantes</w:t>
            </w:r>
          </w:p>
        </w:tc>
        <w:tc>
          <w:tcPr>
            <w:tcW w:type="dxa" w:w="2592"/>
            <w:shd w:fill="102033"/>
            <w:tcBorders>
              <w:top w:sz="4" w:val="single" w:color="102033"/>
              <w:left w:sz="4" w:val="single" w:color="102033"/>
              <w:bottom w:sz="4" w:val="single" w:color="102033"/>
              <w:right w:sz="4" w:val="single" w:color="1020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 que parece se repetir?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592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592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1584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592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592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592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592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1584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592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592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592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592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1584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592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592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592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592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1584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592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592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</w:tr>
    </w:tbl>
    <w:p/>
    <w:p>
      <w:pPr>
        <w:pStyle w:val="Heading1"/>
        <w:spacing w:before="120" w:after="80"/>
      </w:pPr>
      <w:r>
        <w:rPr>
          <w:b/>
        </w:rPr>
        <w:t>Leitura clínica possível</w:t>
      </w:r>
    </w:p>
    <w:p>
      <w:pPr>
        <w:pStyle w:val="ListBullet"/>
        <w:ind w:left="360"/>
      </w:pPr>
      <w:r>
        <w:t>Quais temas retornam em diferentes fases?</w:t>
      </w:r>
    </w:p>
    <w:p>
      <w:pPr>
        <w:pStyle w:val="ListBullet"/>
        <w:ind w:left="360"/>
      </w:pPr>
      <w:r>
        <w:t>Quais formas de sofrer aparecem como conhecidas ou familiares?</w:t>
      </w:r>
    </w:p>
    <w:p>
      <w:pPr>
        <w:pStyle w:val="ListBullet"/>
        <w:ind w:left="360"/>
      </w:pPr>
      <w:r>
        <w:t>Que lugares o paciente costuma ocupar nos vínculos?</w:t>
      </w:r>
    </w:p>
    <w:p>
      <w:pPr>
        <w:pStyle w:val="ListBullet"/>
        <w:ind w:left="360"/>
      </w:pPr>
      <w:r>
        <w:t>Há perdas, rupturas, silêncios ou segredos que organizam partes da narrativa?</w:t>
      </w:r>
    </w:p>
    <w:sectPr w:rsidR="00FC693F" w:rsidRPr="0006063C" w:rsidSect="00034616">
      <w:footerReference w:type="default" r:id="rId9"/>
      <w:pgSz w:w="12240" w:h="15840"/>
      <w:pgMar w:top="936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0565E"/>
        <w:sz w:val="16"/>
      </w:rPr>
      <w:t>Kit Primeiras Sessões - Material de apoio clínico | Versão editável para adaptação profissional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91F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1F2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F1F2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F1F2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F1F2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