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A67E3A"/>
          <w:sz w:val="18"/>
        </w:rPr>
        <w:t>KIT PRIMEIRAS SESSÕES</w:t>
      </w:r>
    </w:p>
    <w:p>
      <w:pPr>
        <w:jc w:val="center"/>
      </w:pPr>
      <w:r>
        <w:rPr>
          <w:rFonts w:ascii="Arial" w:hAnsi="Arial"/>
          <w:b/>
          <w:color w:val="0F1F2F"/>
          <w:sz w:val="44"/>
        </w:rPr>
        <w:t>Registro de Experiências, Desejo e Vitalidade</w:t>
      </w:r>
    </w:p>
    <w:p>
      <w:pPr>
        <w:jc w:val="center"/>
      </w:pPr>
      <w:r>
        <w:rPr>
          <w:rFonts w:ascii="Arial" w:hAnsi="Arial"/>
          <w:color w:val="50565E"/>
          <w:sz w:val="21"/>
        </w:rPr>
        <w:t>Alternativa psicodinâmica para observar atividades, investimento afetivo e sentido</w:t>
      </w:r>
    </w:p>
    <w:p>
      <w:pPr>
        <w:jc w:val="center"/>
      </w:pPr>
      <w:r>
        <w:rPr>
          <w:rFonts w:ascii="Arial" w:hAnsi="Arial"/>
          <w:b/>
          <w:color w:val="A67E3A"/>
          <w:sz w:val="18"/>
        </w:rPr>
        <w:t>Versão Psicanálise / Psicodinâmica</w:t>
      </w:r>
    </w:p>
    <w:p>
      <w:pPr>
        <w:spacing w:after="160"/>
        <w:pBdr>
          <w:bottom w:val="single" w:sz="8" w:space="1" w:color="D8C7A5"/>
        </w:pBdr>
      </w:pPr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AF7F0"/>
            <w:tcBorders>
              <w:top w:sz="6" w:val="single" w:color="D8C7A5"/>
              <w:left w:sz="6" w:val="single" w:color="D8C7A5"/>
              <w:bottom w:sz="6" w:val="single" w:color="D8C7A5"/>
              <w:right w:sz="6" w:val="single" w:color="D8C7A5"/>
            </w:tcBorders>
          </w:tcPr>
          <w:p>
            <w:r>
              <w:rPr>
                <w:b/>
                <w:color w:val="0F1F2F"/>
              </w:rPr>
              <w:t xml:space="preserve">Nota de uso: </w:t>
            </w:r>
            <w:r>
              <w:t>material de apoio para organização clínica e reflexão. Deve ser adaptado ao caso, à abordagem, ao contrato terapêutico e aos limites éticos da prática profissional. Não substitui supervisão, avaliação de risco, prontuário formal ou encaminhamento quando necessário.</w:t>
            </w:r>
          </w:p>
        </w:tc>
      </w:tr>
    </w:tbl>
    <w:p/>
    <w:p>
      <w:pPr>
        <w:pStyle w:val="Heading1"/>
        <w:spacing w:before="120" w:after="80"/>
      </w:pPr>
      <w:r>
        <w:rPr>
          <w:b/>
        </w:rPr>
        <w:t>Instruções</w:t>
      </w:r>
    </w:p>
    <w:p>
      <w:r>
        <w:t>Registre algumas atividades da semana e observe não apenas se foram produtivas, mas como você se sentiu nelas: vivo, esvaziado, obrigado, culpado, interessado, distante ou preso.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4"/>
        <w:gridCol w:w="1714"/>
        <w:gridCol w:w="1714"/>
        <w:gridCol w:w="1714"/>
        <w:gridCol w:w="1714"/>
        <w:gridCol w:w="1714"/>
      </w:tblGrid>
      <w:tr>
        <w:tc>
          <w:tcPr>
            <w:tcW w:type="dxa" w:w="1008"/>
            <w:shd w:fill="102033"/>
            <w:tcBorders>
              <w:top w:sz="4" w:val="single" w:color="102033"/>
              <w:left w:sz="4" w:val="single" w:color="102033"/>
              <w:bottom w:sz="4" w:val="single" w:color="102033"/>
              <w:right w:sz="4" w:val="single" w:color="10203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Data</w:t>
            </w:r>
          </w:p>
        </w:tc>
        <w:tc>
          <w:tcPr>
            <w:tcW w:type="dxa" w:w="2160"/>
            <w:shd w:fill="102033"/>
            <w:tcBorders>
              <w:top w:sz="4" w:val="single" w:color="102033"/>
              <w:left w:sz="4" w:val="single" w:color="102033"/>
              <w:bottom w:sz="4" w:val="single" w:color="102033"/>
              <w:right w:sz="4" w:val="single" w:color="10203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Situação/atividade</w:t>
            </w:r>
          </w:p>
        </w:tc>
        <w:tc>
          <w:tcPr>
            <w:tcW w:type="dxa" w:w="2448"/>
            <w:shd w:fill="102033"/>
            <w:tcBorders>
              <w:top w:sz="4" w:val="single" w:color="102033"/>
              <w:left w:sz="4" w:val="single" w:color="102033"/>
              <w:bottom w:sz="4" w:val="single" w:color="102033"/>
              <w:right w:sz="4" w:val="single" w:color="10203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Fiz por desejo, obrigação ou medo?</w:t>
            </w:r>
          </w:p>
        </w:tc>
        <w:tc>
          <w:tcPr>
            <w:tcW w:type="dxa" w:w="1728"/>
            <w:shd w:fill="102033"/>
            <w:tcBorders>
              <w:top w:sz="4" w:val="single" w:color="102033"/>
              <w:left w:sz="4" w:val="single" w:color="102033"/>
              <w:bottom w:sz="4" w:val="single" w:color="102033"/>
              <w:right w:sz="4" w:val="single" w:color="10203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Afeto percebido</w:t>
            </w:r>
          </w:p>
        </w:tc>
        <w:tc>
          <w:tcPr>
            <w:tcW w:type="dxa" w:w="1440"/>
            <w:shd w:fill="102033"/>
            <w:tcBorders>
              <w:top w:sz="4" w:val="single" w:color="102033"/>
              <w:left w:sz="4" w:val="single" w:color="102033"/>
              <w:bottom w:sz="4" w:val="single" w:color="102033"/>
              <w:right w:sz="4" w:val="single" w:color="10203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Vitalidade 0-10</w:t>
            </w:r>
          </w:p>
        </w:tc>
        <w:tc>
          <w:tcPr>
            <w:tcW w:type="dxa" w:w="2448"/>
            <w:shd w:fill="102033"/>
            <w:tcBorders>
              <w:top w:sz="4" w:val="single" w:color="102033"/>
              <w:left w:sz="4" w:val="single" w:color="102033"/>
              <w:bottom w:sz="4" w:val="single" w:color="102033"/>
              <w:right w:sz="4" w:val="single" w:color="10203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Observações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160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44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172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1440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44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</w:tr>
      <w:tr>
        <w:tc>
          <w:tcPr>
            <w:tcW w:type="dxa" w:w="1008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160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448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1728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1440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448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160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44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172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1440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44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</w:tr>
      <w:tr>
        <w:tc>
          <w:tcPr>
            <w:tcW w:type="dxa" w:w="1008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160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448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1728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1440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448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160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44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172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1440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44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</w:tr>
      <w:tr>
        <w:tc>
          <w:tcPr>
            <w:tcW w:type="dxa" w:w="1008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160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448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1728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1440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448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160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44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172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1440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44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</w:tr>
      <w:tr>
        <w:tc>
          <w:tcPr>
            <w:tcW w:type="dxa" w:w="1008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160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448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1728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1440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448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160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44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172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1440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448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</w:tr>
      <w:tr>
        <w:tc>
          <w:tcPr>
            <w:tcW w:type="dxa" w:w="1008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160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448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1728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1440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2448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</w:tr>
    </w:tbl>
    <w:p/>
    <w:p>
      <w:pPr>
        <w:pStyle w:val="Heading1"/>
        <w:spacing w:before="120" w:after="80"/>
      </w:pPr>
      <w:r>
        <w:rPr>
          <w:b/>
        </w:rPr>
        <w:t>Perguntas de elaboração</w:t>
      </w:r>
    </w:p>
    <w:p>
      <w:pPr>
        <w:pStyle w:val="ListBullet"/>
        <w:ind w:left="360"/>
      </w:pPr>
      <w:r>
        <w:t>Em quais momentos me senti mais vivo ou presente?</w:t>
      </w:r>
    </w:p>
    <w:p>
      <w:pPr>
        <w:pStyle w:val="ListBullet"/>
        <w:ind w:left="360"/>
      </w:pPr>
      <w:r>
        <w:t>Em quais momentos agi apenas para evitar culpa, crítica ou abandono?</w:t>
      </w:r>
    </w:p>
    <w:p>
      <w:pPr>
        <w:pStyle w:val="ListBullet"/>
        <w:ind w:left="360"/>
      </w:pPr>
      <w:r>
        <w:t>O que eu faço para agradar, evitar conflito ou sustentar uma imagem?</w:t>
      </w:r>
    </w:p>
    <w:p>
      <w:pPr>
        <w:pStyle w:val="ListBullet"/>
        <w:ind w:left="360"/>
      </w:pPr>
      <w:r>
        <w:t>Que desejo aparece, mesmo de forma tímida, quando observo minha semana?</w:t>
      </w:r>
    </w:p>
    <w:sectPr w:rsidR="00FC693F" w:rsidRPr="0006063C" w:rsidSect="00034616">
      <w:footerReference w:type="default" r:id="rId9"/>
      <w:pgSz w:w="12240" w:h="15840"/>
      <w:pgMar w:top="936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0565E"/>
        <w:sz w:val="16"/>
      </w:rPr>
      <w:t>Kit Primeiras Sessões - Material de apoio clínico | Versão editável para adaptação profissional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91F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1F2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F1F2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F1F2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F1F2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