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08A3C"/>
          <w:sz w:val="16"/>
        </w:rPr>
        <w:t>KIT PRIMEIRAS SESSÕES</w:t>
      </w:r>
    </w:p>
    <w:p>
      <w:pPr>
        <w:jc w:val="center"/>
      </w:pPr>
      <w:r>
        <w:rPr>
          <w:rFonts w:ascii="Georgia" w:hAnsi="Georgia"/>
          <w:b/>
          <w:color w:val="0E1B2A"/>
          <w:sz w:val="48"/>
        </w:rPr>
        <w:t>Como se posicionar no começo sem parecer inseguro</w:t>
      </w:r>
    </w:p>
    <w:p>
      <w:pPr>
        <w:jc w:val="center"/>
      </w:pPr>
      <w:r>
        <w:rPr>
          <w:rFonts w:ascii="Arial" w:hAnsi="Arial"/>
          <w:color w:val="666666"/>
          <w:sz w:val="21"/>
        </w:rPr>
        <w:t>Guia rápido para comunicar atendimento, limites, valores e combinados com clareza.</w:t>
      </w:r>
    </w:p>
    <w:p>
      <w:pPr>
        <w:jc w:val="center"/>
      </w:pPr>
      <w:r>
        <w:rPr>
          <w:rFonts w:ascii="Arial" w:hAnsi="Arial"/>
          <w:b/>
          <w:color w:val="B08A3C"/>
          <w:sz w:val="18"/>
        </w:rPr>
        <w:t>Versão TCC</w:t>
      </w:r>
    </w:p>
    <w:p>
      <w:pPr>
        <w:spacing w:before="40" w:after="80"/>
        <w:pBdr>
          <w:bottom w:val="single" w:sz="8" w:space="1" w:color="B08A3C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Ideia central</w:t>
            </w:r>
            <w:r>
              <w:rPr>
                <w:sz w:val="18"/>
              </w:rPr>
              <w:br/>
              <w:t>Profissionalismo não é parecer frio. É transmitir clareza, limite e cuidado. Quanto mais simples for sua explicação, menos insegurança você passa.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0E1B2A"/>
          </w:tcPr>
          <w:p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6912"/>
            <w:shd w:fill="0E1B2A"/>
          </w:tcPr>
          <w:p>
            <w:r>
              <w:rPr>
                <w:b/>
                <w:color w:val="FFFFFF"/>
                <w:sz w:val="17"/>
              </w:rPr>
              <w:t>Forma simples de responder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Explicar o atendimento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“O primeiro encontro serve para eu entender melhor sua demanda, sua história e o que você busca neste momento.”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Apresentar valor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“O valor da sessão é R$ [valor], com pagamento por [Pix/cartão/transferência].”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Falar de contrato/combinados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“Antes de iniciarmos, eu explico os combinados de horário, sigilo, faltas, remarcações e funcionamento do processo.”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Responder dúvida sem se justificar demais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“Essa é uma dúvida comum. Funciona da seguinte forma...”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Não prometer resultado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“A terapia é um processo. Não consigo prometer um resultado específico, mas posso te oferecer um espaço técnico e cuidadoso para trabalharmos essa demanda.”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Manter limite profissional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“Para preservar o cuidado e a organização do processo, temas clínicos mais importantes são trabalhados em sessão.”</w:t>
            </w:r>
          </w:p>
        </w:tc>
      </w:tr>
    </w:tbl>
    <w:p/>
    <w:p>
      <w:pPr>
        <w:pStyle w:val="Heading2"/>
      </w:pPr>
      <w:r>
        <w:t>O que evitar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Pedir desculpas excessivas por cobrar.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Explicar demais para tentar convencer.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Prometer cura, melhora rápida ou resultado garantido.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Responder mensagens clínicas longas fora do combinado.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Aceitar qualquer condição por medo de perder o paciente.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Usar linguagem técnica demais no primeiro contato.</w:t>
      </w:r>
    </w:p>
    <w:p>
      <w:pPr>
        <w:pStyle w:val="Heading2"/>
      </w:pPr>
      <w:r>
        <w:t>Postura por abordagem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Explique que o processo pode envolver compreensão de pensamentos, emoções, comportamentos e estratégias práticas.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Apresente tarefas e registros como ferramentas de observação, não como cobrança escolar.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Mostre que objetivos podem ser construídos e revisados ao longo do processo.</w:t>
      </w:r>
    </w:p>
    <w:p>
      <w:pPr>
        <w:pStyle w:val="Heading2"/>
      </w:pPr>
      <w:r>
        <w:t>Frase de segurança para usar quando não souber responder na hora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Modelo</w:t>
            </w:r>
            <w:r>
              <w:rPr>
                <w:sz w:val="18"/>
              </w:rPr>
              <w:br/>
              <w:t>“Essa é uma questão importante. Prefiro verificar com cuidado para te responder de forma responsável, em vez de te dar uma resposta apressada.”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4"/>
      </w:rPr>
      <w:t>Material de apoio profissional - adapte ao seu contexto, abordagem e responsabilidade técnica.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66666"/>
        <w:sz w:val="16"/>
      </w:rPr>
      <w:t>Kit Primeiras Sessões | Versão TCC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41C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