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A67E3A"/>
          <w:sz w:val="18"/>
        </w:rPr>
        <w:t>KIT PRIMEIRAS SESSÕES</w:t>
      </w:r>
    </w:p>
    <w:p>
      <w:pPr>
        <w:jc w:val="center"/>
      </w:pPr>
      <w:r>
        <w:rPr>
          <w:rFonts w:ascii="Arial" w:hAnsi="Arial"/>
          <w:b/>
          <w:color w:val="0F1F2F"/>
          <w:sz w:val="44"/>
        </w:rPr>
        <w:t>Perguntas para Escutar Repetições e Sentidos</w:t>
      </w:r>
    </w:p>
    <w:p>
      <w:pPr>
        <w:jc w:val="center"/>
      </w:pPr>
      <w:r>
        <w:rPr>
          <w:rFonts w:ascii="Arial" w:hAnsi="Arial"/>
          <w:color w:val="50565E"/>
          <w:sz w:val="21"/>
        </w:rPr>
        <w:t>Roteiro de apoio para investigar padrões sem fechar interpretações</w:t>
      </w:r>
    </w:p>
    <w:p>
      <w:pPr>
        <w:jc w:val="center"/>
      </w:pPr>
      <w:r>
        <w:rPr>
          <w:rFonts w:ascii="Arial" w:hAnsi="Arial"/>
          <w:b/>
          <w:color w:val="A67E3A"/>
          <w:sz w:val="18"/>
        </w:rPr>
        <w:t>Versão Psicanálise / Psicodinâmica</w:t>
      </w:r>
    </w:p>
    <w:p>
      <w:pPr>
        <w:spacing w:after="160"/>
        <w:pBdr>
          <w:bottom w:val="single" w:sz="8" w:space="1" w:color="D8C7A5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82"/>
      </w:tblGrid>
      <w:tr>
        <w:tc>
          <w:tcPr>
            <w:tcW w:type="dxa" w:w="10282"/>
            <w:shd w:fill="FAF7F0"/>
            <w:tcBorders>
              <w:top w:sz="6" w:val="single" w:color="D8C7A5"/>
              <w:left w:sz="6" w:val="single" w:color="D8C7A5"/>
              <w:bottom w:sz="6" w:val="single" w:color="D8C7A5"/>
              <w:right w:sz="6" w:val="single" w:color="D8C7A5"/>
            </w:tcBorders>
          </w:tcPr>
          <w:p>
            <w:r>
              <w:rPr>
                <w:b/>
                <w:color w:val="0F1F2F"/>
              </w:rPr>
              <w:t xml:space="preserve">Nota de uso: </w:t>
            </w:r>
            <w:r>
              <w:t>material de apoio para organização clínica e reflexão. Deve ser adaptado ao caso, à abordagem, ao contrato terapêutico e aos limites éticos da prática profissional. Não substitui supervisão, avaliação de risco, prontuário formal ou encaminhamento quando necessário.</w:t>
            </w:r>
          </w:p>
        </w:tc>
      </w:tr>
    </w:tbl>
    <w:p/>
    <w:p>
      <w:pPr>
        <w:pStyle w:val="Heading1"/>
        <w:spacing w:before="120" w:after="80"/>
      </w:pPr>
      <w:r>
        <w:rPr>
          <w:b/>
        </w:rPr>
        <w:t>Uso clínico</w:t>
      </w:r>
    </w:p>
    <w:p>
      <w:r>
        <w:t>Estas perguntas ajudam a sustentar a escuta quando aparecem queixas repetitivas, relações parecidas, escolhas que se repetem ou sofrimentos que retornam com diferentes nomes.</w:t>
      </w:r>
    </w:p>
    <w:p>
      <w:pPr>
        <w:pStyle w:val="Heading2"/>
        <w:spacing w:before="80" w:after="60"/>
      </w:pPr>
      <w:r>
        <w:rPr>
          <w:b/>
        </w:rPr>
        <w:t>Perguntas sobre repetição</w:t>
      </w:r>
    </w:p>
    <w:p>
      <w:pPr>
        <w:pStyle w:val="ListBullet"/>
        <w:ind w:left="360"/>
      </w:pPr>
      <w:r>
        <w:t>Isso já aconteceu de alguma forma em outros momentos da sua vida?</w:t>
      </w:r>
    </w:p>
    <w:p>
      <w:pPr>
        <w:pStyle w:val="ListBullet"/>
        <w:ind w:left="360"/>
      </w:pPr>
      <w:r>
        <w:t>Você costuma ocupar que lugar nessa cena?</w:t>
      </w:r>
    </w:p>
    <w:p>
      <w:pPr>
        <w:pStyle w:val="ListBullet"/>
        <w:ind w:left="360"/>
      </w:pPr>
      <w:r>
        <w:t>O que muda e o que se repete quando essa situação aparece?</w:t>
      </w:r>
    </w:p>
    <w:p>
      <w:pPr>
        <w:pStyle w:val="ListBullet"/>
        <w:ind w:left="360"/>
      </w:pPr>
      <w:r>
        <w:t>Que tipo de pessoa ou relação costuma te colocar nesse mesmo ponto?</w:t>
      </w:r>
    </w:p>
    <w:p>
      <w:pPr>
        <w:pStyle w:val="ListBullet"/>
        <w:ind w:left="360"/>
      </w:pPr>
      <w:r>
        <w:t>O que você já espera que aconteça antes mesmo de acontecer?</w:t>
      </w:r>
    </w:p>
    <w:p>
      <w:pPr>
        <w:pStyle w:val="Heading2"/>
        <w:spacing w:before="80" w:after="60"/>
      </w:pPr>
      <w:r>
        <w:rPr>
          <w:b/>
        </w:rPr>
        <w:t>Perguntas sobre vínculo</w:t>
      </w:r>
    </w:p>
    <w:p>
      <w:pPr>
        <w:pStyle w:val="ListBullet"/>
        <w:ind w:left="360"/>
      </w:pPr>
      <w:r>
        <w:t>O que você teme perder se agir de outro modo?</w:t>
      </w:r>
    </w:p>
    <w:p>
      <w:pPr>
        <w:pStyle w:val="ListBullet"/>
        <w:ind w:left="360"/>
      </w:pPr>
      <w:r>
        <w:t>O que você tenta garantir quando se comporta assim?</w:t>
      </w:r>
    </w:p>
    <w:p>
      <w:pPr>
        <w:pStyle w:val="ListBullet"/>
        <w:ind w:left="360"/>
      </w:pPr>
      <w:r>
        <w:t>De quem parece vir essa cobrança ou essa voz interna?</w:t>
      </w:r>
    </w:p>
    <w:p>
      <w:pPr>
        <w:pStyle w:val="ListBullet"/>
        <w:ind w:left="360"/>
      </w:pPr>
      <w:r>
        <w:t>Quando você se sente olhado, criticado ou abandonado, o que costuma fazer?</w:t>
      </w:r>
    </w:p>
    <w:p>
      <w:pPr>
        <w:pStyle w:val="Heading2"/>
        <w:spacing w:before="80" w:after="60"/>
      </w:pPr>
      <w:r>
        <w:rPr>
          <w:b/>
        </w:rPr>
        <w:t>Perguntas sobre desejo e conflito</w:t>
      </w:r>
    </w:p>
    <w:p>
      <w:pPr>
        <w:pStyle w:val="ListBullet"/>
        <w:ind w:left="360"/>
      </w:pPr>
      <w:r>
        <w:t>O que você quer, mas sente que não poderia querer?</w:t>
      </w:r>
    </w:p>
    <w:p>
      <w:pPr>
        <w:pStyle w:val="ListBullet"/>
        <w:ind w:left="360"/>
      </w:pPr>
      <w:r>
        <w:t>O que fica difícil admitir nessa situação?</w:t>
      </w:r>
    </w:p>
    <w:p>
      <w:pPr>
        <w:pStyle w:val="ListBullet"/>
        <w:ind w:left="360"/>
      </w:pPr>
      <w:r>
        <w:t>Existe alguma vantagem em manter as coisas como estão, mesmo sofrendo?</w:t>
      </w:r>
    </w:p>
    <w:p>
      <w:pPr>
        <w:pStyle w:val="ListBullet"/>
        <w:ind w:left="360"/>
      </w:pPr>
      <w:r>
        <w:t>O que poderia acontecer se você saísse desse lugar conhecido?</w:t>
      </w:r>
    </w:p>
    <w:sectPr w:rsidR="00FC693F" w:rsidRPr="0006063C" w:rsidSect="00034616">
      <w:footerReference w:type="default" r:id="rId9"/>
      <w:pgSz w:w="12240" w:h="15840"/>
      <w:pgMar w:top="936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0565E"/>
        <w:sz w:val="16"/>
      </w:rPr>
      <w:t>Kit Primeiras Sessões - Material de apoio clínico | Versão editável para adaptação profissional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91F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F1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F1F2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1F2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