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A67E3A"/>
          <w:sz w:val="18"/>
        </w:rPr>
        <w:t>KIT PRIMEIRAS SESSÕES</w:t>
      </w:r>
    </w:p>
    <w:p>
      <w:pPr>
        <w:jc w:val="center"/>
      </w:pPr>
      <w:r>
        <w:rPr>
          <w:rFonts w:ascii="Arial" w:hAnsi="Arial"/>
          <w:b/>
          <w:color w:val="0F1F2F"/>
          <w:sz w:val="44"/>
        </w:rPr>
        <w:t>Ciclos de Retraimento e Sofrimento</w:t>
      </w:r>
    </w:p>
    <w:p>
      <w:pPr>
        <w:jc w:val="center"/>
      </w:pPr>
      <w:r>
        <w:rPr>
          <w:rFonts w:ascii="Arial" w:hAnsi="Arial"/>
          <w:color w:val="50565E"/>
          <w:sz w:val="21"/>
        </w:rPr>
        <w:t>Mapa para observar como desânimo, culpa, isolamento e repetição se alimentam</w:t>
      </w:r>
    </w:p>
    <w:p>
      <w:pPr>
        <w:jc w:val="center"/>
      </w:pPr>
      <w:r>
        <w:rPr>
          <w:rFonts w:ascii="Arial" w:hAnsi="Arial"/>
          <w:b/>
          <w:color w:val="A67E3A"/>
          <w:sz w:val="18"/>
        </w:rPr>
        <w:t>Versão Psicanálise / Psicodinâmica</w:t>
      </w:r>
    </w:p>
    <w:p>
      <w:pPr>
        <w:spacing w:after="160"/>
        <w:pBdr>
          <w:bottom w:val="single" w:sz="8" w:space="1" w:color="D8C7A5"/>
        </w:pBdr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AF7F0"/>
            <w:tcBorders>
              <w:top w:sz="6" w:val="single" w:color="D8C7A5"/>
              <w:left w:sz="6" w:val="single" w:color="D8C7A5"/>
              <w:bottom w:sz="6" w:val="single" w:color="D8C7A5"/>
              <w:right w:sz="6" w:val="single" w:color="D8C7A5"/>
            </w:tcBorders>
          </w:tcPr>
          <w:p>
            <w:r>
              <w:rPr>
                <w:b/>
                <w:color w:val="0F1F2F"/>
              </w:rPr>
              <w:t xml:space="preserve">Nota de uso: </w:t>
            </w:r>
            <w:r>
              <w:t>material de apoio para organização clínica e reflexão. Deve ser adaptado ao caso, à abordagem, ao contrato terapêutico e aos limites éticos da prática profissional. Não substitui supervisão, avaliação de risco, prontuário formal ou encaminhamento quando necessário.</w:t>
            </w:r>
          </w:p>
        </w:tc>
      </w:tr>
    </w:tbl>
    <w:p/>
    <w:p>
      <w:pPr>
        <w:pStyle w:val="Heading1"/>
        <w:spacing w:before="120" w:after="80"/>
      </w:pPr>
      <w:r>
        <w:rPr>
          <w:b/>
        </w:rPr>
        <w:t>Instruções</w:t>
      </w:r>
    </w:p>
    <w:p>
      <w:r>
        <w:t>Use para mapear ciclos em que o paciente sofre, se afasta, sente culpa ou vergonha, perde vitalidade e se vê preso em uma posição repetida.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1728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Afeto inicial</w:t>
            </w:r>
          </w:p>
        </w:tc>
        <w:tc>
          <w:tcPr>
            <w:tcW w:type="dxa" w:w="2160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Defesa/reação</w:t>
            </w:r>
          </w:p>
        </w:tc>
        <w:tc>
          <w:tcPr>
            <w:tcW w:type="dxa" w:w="2160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Consequência no vínculo</w:t>
            </w:r>
          </w:p>
        </w:tc>
        <w:tc>
          <w:tcPr>
            <w:tcW w:type="dxa" w:w="2160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Frase interna</w:t>
            </w:r>
          </w:p>
        </w:tc>
        <w:tc>
          <w:tcPr>
            <w:tcW w:type="dxa" w:w="2448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 ciclo se repete como?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72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72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72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</w:tbl>
    <w:p/>
    <w:p>
      <w:pPr>
        <w:pStyle w:val="Heading1"/>
        <w:spacing w:before="120" w:after="80"/>
      </w:pPr>
      <w:r>
        <w:rPr>
          <w:b/>
        </w:rPr>
        <w:t>Exemplos de ciclos comuns</w:t>
      </w:r>
    </w:p>
    <w:p>
      <w:pPr>
        <w:pStyle w:val="ListBullet"/>
        <w:ind w:left="360"/>
      </w:pPr>
      <w:r>
        <w:t>Sinto vergonha -&gt; evito contato -&gt; fico sozinho -&gt; confirmo que “ninguém liga”.</w:t>
      </w:r>
    </w:p>
    <w:p>
      <w:pPr>
        <w:pStyle w:val="ListBullet"/>
        <w:ind w:left="360"/>
      </w:pPr>
      <w:r>
        <w:t>Sinto raiva -&gt; me calo -&gt; acumulo ressentimento -&gt; explodo ou desapareço.</w:t>
      </w:r>
    </w:p>
    <w:p>
      <w:pPr>
        <w:pStyle w:val="ListBullet"/>
        <w:ind w:left="360"/>
      </w:pPr>
      <w:r>
        <w:t>Sinto culpa -&gt; tento agradar -&gt; me esgoto -&gt; sinto raiva por não ser visto.</w:t>
      </w:r>
    </w:p>
    <w:p>
      <w:pPr>
        <w:pStyle w:val="ListBullet"/>
        <w:ind w:left="360"/>
      </w:pPr>
      <w:r>
        <w:t>Sinto desamparo -&gt; não peço ajuda -&gt; me sinto invisível -&gt; reforço a ideia de que preciso dar conta sozinho.</w:t>
      </w:r>
    </w:p>
    <w:p>
      <w:pPr>
        <w:pStyle w:val="Heading1"/>
        <w:spacing w:before="120" w:after="80"/>
      </w:pPr>
      <w:r>
        <w:rPr>
          <w:b/>
        </w:rPr>
        <w:t>Pergunta final</w:t>
      </w:r>
    </w:p>
    <w:p>
      <w:r>
        <w:t>Que pequena mudança poderia interromper um ponto do ciclo sem exigir que tudo se resolva de uma vez?</w:t>
      </w:r>
    </w:p>
    <w:sectPr w:rsidR="00FC693F" w:rsidRPr="0006063C" w:rsidSect="00034616">
      <w:footerReference w:type="default" r:id="rId9"/>
      <w:pgSz w:w="12240" w:h="15840"/>
      <w:pgMar w:top="936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0565E"/>
        <w:sz w:val="16"/>
      </w:rPr>
      <w:t>Kit Primeiras Sessões - Material de apoio clínico | Versão editável para adaptação profissional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91F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F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1F2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F2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F1F2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