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color w:val="B08A3C"/>
          <w:sz w:val="16"/>
        </w:rPr>
        <w:t>KIT PRIMEIRAS SESSÕES</w:t>
      </w:r>
    </w:p>
    <w:p>
      <w:pPr>
        <w:pStyle w:val="Title"/>
        <w:jc w:val="center"/>
      </w:pPr>
      <w:r>
        <w:t>Checklist de Organização da Anamnese</w:t>
      </w:r>
    </w:p>
    <w:p>
      <w:pPr>
        <w:spacing w:after="160"/>
        <w:jc w:val="center"/>
      </w:pPr>
      <w:r>
        <w:rPr>
          <w:color w:val="4B5563"/>
          <w:sz w:val="21"/>
        </w:rPr>
        <w:t>Antes, durante e depois da avaliação inicial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C8AD"/>
          <w:left w:val="single" w:sz="6" w:space="0" w:color="D6C8AD"/>
          <w:bottom w:val="single" w:sz="6" w:space="0" w:color="D6C8AD"/>
          <w:right w:val="single" w:sz="6" w:space="0" w:color="D6C8AD"/>
          <w:insideH w:val="single" w:sz="6" w:space="0" w:color="D6C8AD"/>
          <w:insideV w:val="single" w:sz="6" w:space="0" w:color="D6C8AD"/>
        </w:tblBorders>
      </w:tblPr>
      <w:tblGrid>
        <w:gridCol w:w="10482"/>
      </w:tblGrid>
      <w:tr>
        <w:tc>
          <w:tcPr>
            <w:tcW w:type="dxa" w:w="10482"/>
            <w:shd w:fill="FBF7EF"/>
          </w:tcPr>
          <w:p>
            <w:pPr>
              <w:spacing w:before="40" w:after="40"/>
            </w:pPr>
            <w:r>
              <w:rPr>
                <w:b/>
                <w:color w:val="102033"/>
                <w:sz w:val="17"/>
              </w:rPr>
              <w:t xml:space="preserve">Uso sugerido: </w:t>
            </w:r>
            <w:r>
              <w:rPr>
                <w:color w:val="1F2933"/>
                <w:sz w:val="17"/>
              </w:rPr>
              <w:t>Este material é um instrumento de apoio. Ele não substitui supervisão, estudo técnico, avaliação ética, contrato profissional ou registro adequado conforme as normas da categoria.</w:t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t>Antes da anamnese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OK</w:t>
            </w:r>
          </w:p>
        </w:tc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Confirmar horário, modalidade e dados de contato.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Separar ficha adequada: adulto, infantil/adolescente ou triagem breve.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Preparar ambiente físico ou link da sessão.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Revisar informações já enviadas pelo paciente/responsável.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Ter em mãos contrato, orientações de sigilo e política de faltas.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t>Durante a anamnese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OK</w:t>
            </w:r>
          </w:p>
        </w:tc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Explicar objetivo da entrevista inicial.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Acolher a demanda sem prometer resultado.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Investigar queixa, história, rotina, rede de apoio e riscos.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Observar linguagem, afeto, coerência, vínculo e funcionamento geral.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informações essenciais sem transformar a sessão em interrogatório.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Checar dúvidas do paciente/responsável.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t>Depois da anamnese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OK</w:t>
            </w:r>
          </w:p>
        </w:tc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Organizar registro clínico.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Listar hipóteses iniciais de trabalho.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Definir foco da próxima sessão.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Identificar necessidade de supervisão, encaminhamento ou contato com rede.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Enviar material combinado, se houver.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Atualizar agenda e controle financeiro.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t>Pendências e próximos passos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79" w:bottom="822" w:left="87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Material de apoio clínico e educacional - adapte conforme seu contexto, abordagem e normas profissionais.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08A3C"/>
        <w:sz w:val="17"/>
      </w:rPr>
      <w:t>Kit Primeiras Sessões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0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020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B08A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0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