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ptos" w:hAnsi="Aptos"/>
          <w:b/>
          <w:color w:val="B08A3C"/>
          <w:sz w:val="16"/>
        </w:rPr>
        <w:t>KIT PRIMEIRAS SESSÕES</w:t>
      </w:r>
    </w:p>
    <w:p>
      <w:pPr>
        <w:pStyle w:val="Title"/>
        <w:jc w:val="center"/>
      </w:pPr>
      <w:r>
        <w:t>Roteiro de Entrevista Inicial - Infantil e Adolescente</w:t>
      </w:r>
    </w:p>
    <w:p>
      <w:pPr>
        <w:spacing w:after="160"/>
        <w:jc w:val="center"/>
      </w:pPr>
      <w:r>
        <w:rPr>
          <w:color w:val="4B5563"/>
          <w:sz w:val="21"/>
        </w:rPr>
        <w:t>Perguntas-guia para responsáveis, criança/adolescente e organização da primeira avaliação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C8AD"/>
          <w:left w:val="single" w:sz="6" w:space="0" w:color="D6C8AD"/>
          <w:bottom w:val="single" w:sz="6" w:space="0" w:color="D6C8AD"/>
          <w:right w:val="single" w:sz="6" w:space="0" w:color="D6C8AD"/>
          <w:insideH w:val="single" w:sz="6" w:space="0" w:color="D6C8AD"/>
          <w:insideV w:val="single" w:sz="6" w:space="0" w:color="D6C8AD"/>
        </w:tblBorders>
      </w:tblPr>
      <w:tblGrid>
        <w:gridCol w:w="10482"/>
      </w:tblGrid>
      <w:tr>
        <w:tc>
          <w:tcPr>
            <w:tcW w:type="dxa" w:w="10482"/>
            <w:shd w:fill="FBF7EF"/>
          </w:tcPr>
          <w:p>
            <w:pPr>
              <w:spacing w:before="40" w:after="40"/>
            </w:pPr>
            <w:r>
              <w:rPr>
                <w:b/>
                <w:color w:val="102033"/>
                <w:sz w:val="17"/>
              </w:rPr>
              <w:t xml:space="preserve">Uso sugerido: </w:t>
            </w:r>
            <w:r>
              <w:rPr>
                <w:color w:val="1F2933"/>
                <w:sz w:val="17"/>
              </w:rPr>
              <w:t>Este material é um instrumento de apoio. Ele não substitui supervisão, estudo técnico, avaliação ética, contrato profissional ou registro adequado conforme as normas da categoria.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C8AD"/>
          <w:left w:val="single" w:sz="6" w:space="0" w:color="D6C8AD"/>
          <w:bottom w:val="single" w:sz="6" w:space="0" w:color="D6C8AD"/>
          <w:right w:val="single" w:sz="6" w:space="0" w:color="D6C8AD"/>
          <w:insideH w:val="single" w:sz="6" w:space="0" w:color="D6C8AD"/>
          <w:insideV w:val="single" w:sz="6" w:space="0" w:color="D6C8AD"/>
        </w:tblBorders>
      </w:tblPr>
      <w:tblGrid>
        <w:gridCol w:w="10482"/>
      </w:tblGrid>
      <w:tr>
        <w:tc>
          <w:tcPr>
            <w:tcW w:type="dxa" w:w="10482"/>
            <w:shd w:fill="FBF7EF"/>
          </w:tcPr>
          <w:p>
            <w:pPr>
              <w:spacing w:before="40" w:after="40"/>
            </w:pPr>
            <w:r>
              <w:rPr>
                <w:b/>
                <w:color w:val="102033"/>
                <w:sz w:val="17"/>
              </w:rPr>
              <w:t xml:space="preserve">Como usar: </w:t>
            </w:r>
            <w:r>
              <w:rPr>
                <w:color w:val="1F2933"/>
                <w:sz w:val="17"/>
              </w:rPr>
              <w:t>Este roteiro ajuda a separar a demanda da família, da escola e da própria criança/adolescente. Adapte a linguagem à idade e ao contexto.</w:t>
            </w:r>
          </w:p>
        </w:tc>
      </w:tr>
    </w:tbl>
    <w:p>
      <w:pPr>
        <w:spacing w:after="40"/>
      </w:pPr>
    </w:p>
    <w:p>
      <w:pPr>
        <w:pStyle w:val="Heading2"/>
        <w:spacing w:before="120" w:after="60"/>
      </w:pPr>
      <w:r>
        <w:t>1. Com responsáveis</w:t>
      </w:r>
    </w:p>
    <w:p>
      <w:pPr>
        <w:spacing w:after="40"/>
        <w:ind w:left="170"/>
      </w:pPr>
      <w:r>
        <w:rPr>
          <w:color w:val="B08A3C"/>
        </w:rPr>
        <w:t xml:space="preserve">□ </w:t>
      </w:r>
      <w:r>
        <w:rPr>
          <w:sz w:val="19"/>
        </w:rPr>
        <w:t>O que motivou a busca por atendimento agora?</w:t>
      </w:r>
    </w:p>
    <w:p>
      <w:pPr>
        <w:spacing w:after="40"/>
        <w:ind w:left="170"/>
      </w:pPr>
      <w:r>
        <w:rPr>
          <w:color w:val="B08A3C"/>
        </w:rPr>
        <w:t xml:space="preserve">□ </w:t>
      </w:r>
      <w:r>
        <w:rPr>
          <w:sz w:val="19"/>
        </w:rPr>
        <w:t>Quem percebeu primeiro essa dificuldade?</w:t>
      </w:r>
    </w:p>
    <w:p>
      <w:pPr>
        <w:spacing w:after="40"/>
        <w:ind w:left="170"/>
      </w:pPr>
      <w:r>
        <w:rPr>
          <w:color w:val="B08A3C"/>
        </w:rPr>
        <w:t xml:space="preserve">□ </w:t>
      </w:r>
      <w:r>
        <w:rPr>
          <w:sz w:val="19"/>
        </w:rPr>
        <w:t>Em quais contextos o problema aparece mais: casa, escola, social, rotina?</w:t>
      </w:r>
    </w:p>
    <w:p>
      <w:pPr>
        <w:spacing w:after="40"/>
        <w:ind w:left="170"/>
      </w:pPr>
      <w:r>
        <w:rPr>
          <w:color w:val="B08A3C"/>
        </w:rPr>
        <w:t xml:space="preserve">□ </w:t>
      </w:r>
      <w:r>
        <w:rPr>
          <w:sz w:val="19"/>
        </w:rPr>
        <w:t>O que vocês já tentaram fazer e o que funcionou parcialmente?</w:t>
      </w:r>
    </w:p>
    <w:p>
      <w:pPr>
        <w:spacing w:after="40"/>
        <w:ind w:left="170"/>
      </w:pPr>
      <w:r>
        <w:rPr>
          <w:color w:val="B08A3C"/>
        </w:rPr>
        <w:t xml:space="preserve">□ </w:t>
      </w:r>
      <w:r>
        <w:rPr>
          <w:sz w:val="19"/>
        </w:rPr>
        <w:t>Há algo na rotina familiar que mudou recentemente?</w:t>
      </w:r>
    </w:p>
    <w:p>
      <w:pPr>
        <w:pStyle w:val="Heading2"/>
        <w:spacing w:before="120" w:after="60"/>
      </w:pPr>
      <w:r>
        <w:t>2. Escola e aprendizagem</w:t>
      </w:r>
    </w:p>
    <w:p>
      <w:pPr>
        <w:spacing w:after="40"/>
        <w:ind w:left="170"/>
      </w:pPr>
      <w:r>
        <w:rPr>
          <w:color w:val="B08A3C"/>
        </w:rPr>
        <w:t xml:space="preserve">□ </w:t>
      </w:r>
      <w:r>
        <w:rPr>
          <w:sz w:val="19"/>
        </w:rPr>
        <w:t>Como está o desempenho escolar?</w:t>
      </w:r>
    </w:p>
    <w:p>
      <w:pPr>
        <w:spacing w:after="40"/>
        <w:ind w:left="170"/>
      </w:pPr>
      <w:r>
        <w:rPr>
          <w:color w:val="B08A3C"/>
        </w:rPr>
        <w:t xml:space="preserve">□ </w:t>
      </w:r>
      <w:r>
        <w:rPr>
          <w:sz w:val="19"/>
        </w:rPr>
        <w:t>Como é a relação com colegas e professores?</w:t>
      </w:r>
    </w:p>
    <w:p>
      <w:pPr>
        <w:spacing w:after="40"/>
        <w:ind w:left="170"/>
      </w:pPr>
      <w:r>
        <w:rPr>
          <w:color w:val="B08A3C"/>
        </w:rPr>
        <w:t xml:space="preserve">□ </w:t>
      </w:r>
      <w:r>
        <w:rPr>
          <w:sz w:val="19"/>
        </w:rPr>
        <w:t>A escola já trouxe alguma observação ou solicitação?</w:t>
      </w:r>
    </w:p>
    <w:p>
      <w:pPr>
        <w:spacing w:after="40"/>
        <w:ind w:left="170"/>
      </w:pPr>
      <w:r>
        <w:rPr>
          <w:color w:val="B08A3C"/>
        </w:rPr>
        <w:t xml:space="preserve">□ </w:t>
      </w:r>
      <w:r>
        <w:rPr>
          <w:sz w:val="19"/>
        </w:rPr>
        <w:t>Existe adaptação, laudo, acompanhamento ou queixa de aprendizagem?</w:t>
      </w:r>
    </w:p>
    <w:p>
      <w:pPr>
        <w:pStyle w:val="Heading2"/>
        <w:spacing w:before="120" w:after="60"/>
      </w:pPr>
      <w:r>
        <w:t>3. Rotina e comportamento</w:t>
      </w:r>
    </w:p>
    <w:p>
      <w:pPr>
        <w:spacing w:after="40"/>
        <w:ind w:left="170"/>
      </w:pPr>
      <w:r>
        <w:rPr>
          <w:color w:val="B08A3C"/>
        </w:rPr>
        <w:t xml:space="preserve">□ </w:t>
      </w:r>
      <w:r>
        <w:rPr>
          <w:sz w:val="19"/>
        </w:rPr>
        <w:t>Como são sono, alimentação, telas e brincadeiras?</w:t>
      </w:r>
    </w:p>
    <w:p>
      <w:pPr>
        <w:spacing w:after="40"/>
        <w:ind w:left="170"/>
      </w:pPr>
      <w:r>
        <w:rPr>
          <w:color w:val="B08A3C"/>
        </w:rPr>
        <w:t xml:space="preserve">□ </w:t>
      </w:r>
      <w:r>
        <w:rPr>
          <w:sz w:val="19"/>
        </w:rPr>
        <w:t>Quais situações costumam gerar crises, choro, birra ou retraimento?</w:t>
      </w:r>
    </w:p>
    <w:p>
      <w:pPr>
        <w:spacing w:after="40"/>
        <w:ind w:left="170"/>
      </w:pPr>
      <w:r>
        <w:rPr>
          <w:color w:val="B08A3C"/>
        </w:rPr>
        <w:t xml:space="preserve">□ </w:t>
      </w:r>
      <w:r>
        <w:rPr>
          <w:sz w:val="19"/>
        </w:rPr>
        <w:t>Como a família costuma reagir nesses momentos?</w:t>
      </w:r>
    </w:p>
    <w:p>
      <w:pPr>
        <w:spacing w:after="40"/>
        <w:ind w:left="170"/>
      </w:pPr>
      <w:r>
        <w:rPr>
          <w:color w:val="B08A3C"/>
        </w:rPr>
        <w:t xml:space="preserve">□ </w:t>
      </w:r>
      <w:r>
        <w:rPr>
          <w:sz w:val="19"/>
        </w:rPr>
        <w:t>Quais são os interesses, pontos fortes e recursos da criança/adolescente?</w:t>
      </w:r>
    </w:p>
    <w:p>
      <w:pPr>
        <w:pStyle w:val="Heading2"/>
        <w:spacing w:before="120" w:after="60"/>
      </w:pPr>
      <w:r>
        <w:t>4. Com a criança/adolescente</w:t>
      </w:r>
    </w:p>
    <w:p>
      <w:pPr>
        <w:spacing w:after="40"/>
        <w:ind w:left="170"/>
      </w:pPr>
      <w:r>
        <w:rPr>
          <w:color w:val="B08A3C"/>
        </w:rPr>
        <w:t xml:space="preserve">□ </w:t>
      </w:r>
      <w:r>
        <w:rPr>
          <w:sz w:val="19"/>
        </w:rPr>
        <w:t>O que você gosta de fazer?</w:t>
      </w:r>
    </w:p>
    <w:p>
      <w:pPr>
        <w:spacing w:after="40"/>
        <w:ind w:left="170"/>
      </w:pPr>
      <w:r>
        <w:rPr>
          <w:color w:val="B08A3C"/>
        </w:rPr>
        <w:t xml:space="preserve">□ </w:t>
      </w:r>
      <w:r>
        <w:rPr>
          <w:sz w:val="19"/>
        </w:rPr>
        <w:t>O que tem sido mais difícil ultimamente?</w:t>
      </w:r>
    </w:p>
    <w:p>
      <w:pPr>
        <w:spacing w:after="40"/>
        <w:ind w:left="170"/>
      </w:pPr>
      <w:r>
        <w:rPr>
          <w:color w:val="B08A3C"/>
        </w:rPr>
        <w:t xml:space="preserve">□ </w:t>
      </w:r>
      <w:r>
        <w:rPr>
          <w:sz w:val="19"/>
        </w:rPr>
        <w:t>Tem algo que os adultos não entendem sobre você?</w:t>
      </w:r>
    </w:p>
    <w:p>
      <w:pPr>
        <w:spacing w:after="40"/>
        <w:ind w:left="170"/>
      </w:pPr>
      <w:r>
        <w:rPr>
          <w:color w:val="B08A3C"/>
        </w:rPr>
        <w:t xml:space="preserve">□ </w:t>
      </w:r>
      <w:r>
        <w:rPr>
          <w:sz w:val="19"/>
        </w:rPr>
        <w:t>Na escola, o que é mais legal e o que é mais chato?</w:t>
      </w:r>
    </w:p>
    <w:p>
      <w:pPr>
        <w:spacing w:after="40"/>
        <w:ind w:left="170"/>
      </w:pPr>
      <w:r>
        <w:rPr>
          <w:color w:val="B08A3C"/>
        </w:rPr>
        <w:t xml:space="preserve">□ </w:t>
      </w:r>
      <w:r>
        <w:rPr>
          <w:sz w:val="19"/>
        </w:rPr>
        <w:t>Quando você fica triste, bravo ou com medo, o que ajuda?</w:t>
      </w:r>
    </w:p>
    <w:p>
      <w:pPr>
        <w:pStyle w:val="Heading2"/>
        <w:spacing w:before="120" w:after="60"/>
      </w:pPr>
      <w:r>
        <w:t>5. Cuidados e próximos passos</w:t>
      </w:r>
    </w:p>
    <w:p>
      <w:pPr>
        <w:spacing w:after="40"/>
        <w:ind w:left="170"/>
      </w:pPr>
      <w:r>
        <w:rPr>
          <w:color w:val="B08A3C"/>
        </w:rPr>
        <w:t xml:space="preserve">□ </w:t>
      </w:r>
      <w:r>
        <w:rPr>
          <w:sz w:val="19"/>
        </w:rPr>
        <w:t>Há sinais de risco, violência, autoagressão ou sofrimento intenso?</w:t>
      </w:r>
    </w:p>
    <w:p>
      <w:pPr>
        <w:spacing w:after="40"/>
        <w:ind w:left="170"/>
      </w:pPr>
      <w:r>
        <w:rPr>
          <w:color w:val="B08A3C"/>
        </w:rPr>
        <w:t xml:space="preserve">□ </w:t>
      </w:r>
      <w:r>
        <w:rPr>
          <w:sz w:val="19"/>
        </w:rPr>
        <w:t>Quais profissionais ou instituições já acompanham o caso?</w:t>
      </w:r>
    </w:p>
    <w:p>
      <w:pPr>
        <w:spacing w:after="40"/>
        <w:ind w:left="170"/>
      </w:pPr>
      <w:r>
        <w:rPr>
          <w:color w:val="B08A3C"/>
        </w:rPr>
        <w:t xml:space="preserve">□ </w:t>
      </w:r>
      <w:r>
        <w:rPr>
          <w:sz w:val="19"/>
        </w:rPr>
        <w:t>O que precisa ser combinado com família, escola e rede de cuidado?</w:t>
      </w:r>
    </w:p>
    <w:p>
      <w:pPr>
        <w:pStyle w:val="Heading2"/>
        <w:spacing w:before="120" w:after="60"/>
      </w:pPr>
      <w:r>
        <w:t>Notas rápidas da entrevista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879" w:bottom="822" w:left="879" w:header="42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5"/>
      </w:rPr>
      <w:t>Material de apoio clínico e educacional - adapte conforme seu contexto, abordagem e normas profissionais.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B08A3C"/>
        <w:sz w:val="17"/>
      </w:rPr>
      <w:t>Kit Primeiras Sessões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0203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0203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B08A3C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02033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