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Guia Geral de Uso - Formulários Práticos</w:t>
      </w:r>
    </w:p>
    <w:p>
      <w:pPr>
        <w:spacing w:after="160"/>
      </w:pPr>
      <w:r>
        <w:rPr>
          <w:rFonts w:ascii="Arial" w:hAnsi="Arial"/>
          <w:i/>
          <w:sz w:val="18"/>
        </w:rPr>
        <w:t>Orientações gerais separadas dos materiais de preenchimento.</w:t>
      </w:r>
    </w:p>
    <w:p>
      <w:pPr>
        <w:spacing w:before="160" w:after="80"/>
      </w:pPr>
      <w:r>
        <w:rPr>
          <w:rFonts w:ascii="Arial" w:hAnsi="Arial"/>
          <w:b/>
          <w:sz w:val="24"/>
        </w:rPr>
        <w:t>Como usar os formulários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1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r>
        <w:t>Os formulários práticos foram preparados sem marca, sem cabeçalho comercial e sem instruções repetidas dentro das folhas de preenchimento.</w:t>
      </w:r>
    </w:p>
    <w:p>
      <w:r>
        <w:t>Use os documentos como base adaptável. Revise finalidade, dados necessários, autorização, sigilo e limites éticos antes de entregar ou arquivar qualquer material.</w:t>
      </w:r>
    </w:p>
    <w:p>
      <w:r>
        <w:t>Para uso digital, preencha no arquivo editável ou na versão online local. Para uso físico, imprima o PDF e preencha nas caixas delimitadas.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