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Guia Geral de Uso - Materiais Psicoeducativos</w:t>
      </w:r>
    </w:p>
    <w:p>
      <w:pPr>
        <w:spacing w:after="200"/>
      </w:pPr>
      <w:r>
        <w:rPr>
          <w:rFonts w:ascii="Arial" w:hAnsi="Arial"/>
          <w:i/>
          <w:sz w:val="18"/>
        </w:rPr>
        <w:t>Orientações gerais separadas dos materiais de leitura e impressão.</w:t>
      </w:r>
    </w:p>
    <w:p>
      <w:pPr>
        <w:spacing w:before="160" w:after="80"/>
      </w:pPr>
      <w:r>
        <w:rPr>
          <w:rFonts w:ascii="Arial" w:hAnsi="Arial"/>
          <w:b/>
          <w:sz w:val="24"/>
        </w:rPr>
        <w:t>Como usar estes materiais</w:t>
      </w:r>
    </w:p>
    <w:p>
      <w:pPr>
        <w:jc w:val="left"/>
      </w:pPr>
      <w:r>
        <w:rPr>
          <w:rFonts w:ascii="Arial" w:hAnsi="Arial"/>
          <w:sz w:val="20"/>
        </w:rPr>
        <w:t>Esta pasta reúne materiais psicoeducativos e leituras de apoio para consulta, orientação e uso em sessão. Eles foram organizados sem marca nos arquivos práticos, para facilitar impressão, leitura e adaptação.</w:t>
      </w:r>
    </w:p>
    <w:p>
      <w:pPr>
        <w:spacing w:before="160" w:after="80"/>
      </w:pPr>
      <w:r>
        <w:rPr>
          <w:rFonts w:ascii="Arial" w:hAnsi="Arial"/>
          <w:b/>
          <w:sz w:val="24"/>
        </w:rPr>
        <w:t>Padrão de uso recomendado</w:t>
      </w:r>
    </w:p>
    <w:p>
      <w:pPr>
        <w:ind w:left="288" w:hanging="216"/>
      </w:pPr>
      <w:r>
        <w:rPr>
          <w:rFonts w:ascii="Arial" w:hAnsi="Arial"/>
          <w:sz w:val="19"/>
        </w:rPr>
        <w:t>• Use como apoio para explicar conceitos ao paciente.</w:t>
      </w:r>
    </w:p>
    <w:p>
      <w:pPr>
        <w:ind w:left="288" w:hanging="216"/>
      </w:pPr>
      <w:r>
        <w:rPr>
          <w:rFonts w:ascii="Arial" w:hAnsi="Arial"/>
          <w:sz w:val="19"/>
        </w:rPr>
        <w:t>• Evite entregar muitos materiais de uma vez; escolha conforme demanda e momento do processo.</w:t>
      </w:r>
    </w:p>
    <w:p>
      <w:pPr>
        <w:ind w:left="288" w:hanging="216"/>
      </w:pPr>
      <w:r>
        <w:rPr>
          <w:rFonts w:ascii="Arial" w:hAnsi="Arial"/>
          <w:sz w:val="19"/>
        </w:rPr>
        <w:t>• Quando houver atividade de reflexão, use a caixa de escrita ao final ou conduza oralmente em sessão.</w:t>
      </w:r>
    </w:p>
    <w:p>
      <w:pPr>
        <w:ind w:left="288" w:hanging="216"/>
      </w:pPr>
      <w:r>
        <w:rPr>
          <w:rFonts w:ascii="Arial" w:hAnsi="Arial"/>
          <w:sz w:val="19"/>
        </w:rPr>
        <w:t>• Os materiais não substituem avaliação, supervisão, raciocínio clínico ou conduta ética.</w:t>
      </w:r>
    </w:p>
    <w:p>
      <w:pPr>
        <w:spacing w:before="160" w:after="80"/>
      </w:pPr>
      <w:r>
        <w:rPr>
          <w:rFonts w:ascii="Arial" w:hAnsi="Arial"/>
          <w:b/>
          <w:sz w:val="24"/>
        </w:rPr>
        <w:t>Diferença entre leitura e formulário</w:t>
      </w:r>
    </w:p>
    <w:p>
      <w:pPr>
        <w:jc w:val="left"/>
      </w:pPr>
      <w:r>
        <w:rPr>
          <w:rFonts w:ascii="Arial" w:hAnsi="Arial"/>
          <w:sz w:val="20"/>
        </w:rPr>
        <w:t>Materiais de leitura explicam ideias e podem ser enviados ou discutidos. Formulários práticos são os que exigem preenchimento direto, como anamneses, registros e checklists. Esta separação evita poluição visual e facilita impressão.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