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Ciclos de Sofrimento e Retraimento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para reconhecer ciclos que mantêm sofrimento.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Em alguns momentos, uma emoção difícil leva a uma reação de proteção, como se isolar, evitar conversas ou abandonar atividades. A reação pode aliviar no momento, mas aumentar sofrimento depois.</w:t>
      </w:r>
    </w:p>
    <w:p>
      <w:pPr>
        <w:spacing w:before="160" w:after="80"/>
      </w:pPr>
      <w:r>
        <w:rPr>
          <w:rFonts w:ascii="Arial" w:hAnsi="Arial"/>
          <w:b/>
          <w:sz w:val="24"/>
        </w:rPr>
        <w:t>Exemplos de ciclos comuns</w:t>
      </w:r>
    </w:p>
    <w:p>
      <w:pPr>
        <w:ind w:left="288" w:hanging="216"/>
      </w:pPr>
      <w:r>
        <w:rPr>
          <w:rFonts w:ascii="Arial" w:hAnsi="Arial"/>
          <w:sz w:val="19"/>
        </w:rPr>
        <w:t>• Tristeza → isolamento → menos apoio → mais tristeza.</w:t>
      </w:r>
    </w:p>
    <w:p>
      <w:pPr>
        <w:ind w:left="288" w:hanging="216"/>
      </w:pPr>
      <w:r>
        <w:rPr>
          <w:rFonts w:ascii="Arial" w:hAnsi="Arial"/>
          <w:sz w:val="19"/>
        </w:rPr>
        <w:t>• Ansiedade → evitação → alívio imediato → mais medo depois.</w:t>
      </w:r>
    </w:p>
    <w:p>
      <w:pPr>
        <w:ind w:left="288" w:hanging="216"/>
      </w:pPr>
      <w:r>
        <w:rPr>
          <w:rFonts w:ascii="Arial" w:hAnsi="Arial"/>
          <w:sz w:val="19"/>
        </w:rPr>
        <w:t>• Culpa → autocrítica → paralisação → mais culpa.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em sessão</w:t>
      </w:r>
    </w:p>
    <w:p>
      <w:pPr>
        <w:jc w:val="left"/>
      </w:pPr>
      <w:r>
        <w:rPr>
          <w:rFonts w:ascii="Arial" w:hAnsi="Arial"/>
          <w:sz w:val="20"/>
        </w:rPr>
        <w:t>Convide o paciente a escolher um ciclo real e observar onde seria possível fazer uma pequena mudança, sem exigir transformação total.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Qual ciclo aparece com mais frequência na minha rotina?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Qual pequeno ponto do ciclo poderia ser testado de outro modo?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