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sz w:val="36"/>
        </w:rPr>
        <w:t>Formas de Pensar que Podem Manter Sofrimento</w:t>
      </w:r>
    </w:p>
    <w:p>
      <w:pPr>
        <w:spacing w:after="200"/>
      </w:pPr>
      <w:r>
        <w:rPr>
          <w:rFonts w:ascii="Arial" w:hAnsi="Arial"/>
          <w:i/>
          <w:sz w:val="18"/>
        </w:rPr>
        <w:t>Material de leitura sobre padrões de pensamento.</w:t>
      </w:r>
    </w:p>
    <w:p>
      <w:pPr>
        <w:spacing w:before="160" w:after="80"/>
      </w:pPr>
      <w:r>
        <w:rPr>
          <w:rFonts w:ascii="Arial" w:hAnsi="Arial"/>
          <w:b/>
          <w:sz w:val="24"/>
        </w:rPr>
        <w:t>Ideia central</w:t>
      </w:r>
    </w:p>
    <w:p>
      <w:pPr>
        <w:jc w:val="left"/>
      </w:pPr>
      <w:r>
        <w:rPr>
          <w:rFonts w:ascii="Arial" w:hAnsi="Arial"/>
          <w:sz w:val="20"/>
        </w:rPr>
        <w:t>Alguns padrões de pensamento podem deixar a pessoa mais presa ao sofrimento, especialmente quando aparecem de forma rígida, automática ou extrema.</w:t>
      </w:r>
    </w:p>
    <w:p>
      <w:pPr>
        <w:spacing w:before="160" w:after="80"/>
      </w:pPr>
      <w:r>
        <w:rPr>
          <w:rFonts w:ascii="Arial" w:hAnsi="Arial"/>
          <w:b/>
          <w:sz w:val="24"/>
        </w:rPr>
        <w:t>Perguntas de observação</w:t>
      </w:r>
    </w:p>
    <w:p>
      <w:pPr>
        <w:ind w:left="288" w:hanging="216"/>
      </w:pPr>
      <w:r>
        <w:rPr>
          <w:rFonts w:ascii="Arial" w:hAnsi="Arial"/>
          <w:sz w:val="19"/>
        </w:rPr>
        <w:t>• Estou tratando uma hipótese como certeza?</w:t>
      </w:r>
    </w:p>
    <w:p>
      <w:pPr>
        <w:ind w:left="288" w:hanging="216"/>
      </w:pPr>
      <w:r>
        <w:rPr>
          <w:rFonts w:ascii="Arial" w:hAnsi="Arial"/>
          <w:sz w:val="19"/>
        </w:rPr>
        <w:t>• Estou olhando só para o pior cenário?</w:t>
      </w:r>
    </w:p>
    <w:p>
      <w:pPr>
        <w:ind w:left="288" w:hanging="216"/>
      </w:pPr>
      <w:r>
        <w:rPr>
          <w:rFonts w:ascii="Arial" w:hAnsi="Arial"/>
          <w:sz w:val="19"/>
        </w:rPr>
        <w:t>• Estou ignorando dados positivos ou recursos disponíveis?</w:t>
      </w:r>
    </w:p>
    <w:p>
      <w:pPr>
        <w:ind w:left="288" w:hanging="216"/>
      </w:pPr>
      <w:r>
        <w:rPr>
          <w:rFonts w:ascii="Arial" w:hAnsi="Arial"/>
          <w:sz w:val="19"/>
        </w:rPr>
        <w:t>• Estou usando regras rígidas como “tenho que” ou “deveria”?</w:t>
      </w:r>
    </w:p>
    <w:p>
      <w:pPr>
        <w:ind w:left="288" w:hanging="216"/>
      </w:pPr>
      <w:r>
        <w:rPr>
          <w:rFonts w:ascii="Arial" w:hAnsi="Arial"/>
          <w:sz w:val="19"/>
        </w:rPr>
        <w:t>• Estou confundindo sentimento com fato?</w:t>
      </w:r>
    </w:p>
    <w:p>
      <w:pPr>
        <w:spacing w:before="160" w:after="80"/>
      </w:pPr>
      <w:r>
        <w:rPr>
          <w:rFonts w:ascii="Arial" w:hAnsi="Arial"/>
          <w:b/>
          <w:sz w:val="24"/>
        </w:rPr>
        <w:t>Uso em sessão</w:t>
      </w:r>
    </w:p>
    <w:p>
      <w:pPr>
        <w:jc w:val="left"/>
      </w:pPr>
      <w:r>
        <w:rPr>
          <w:rFonts w:ascii="Arial" w:hAnsi="Arial"/>
          <w:sz w:val="20"/>
        </w:rPr>
        <w:t>Este material funciona melhor como convite à observação, não como correção moral. O objetivo é ampliar possibilidades de leitura da situação.</w:t>
      </w:r>
    </w:p>
    <w:p>
      <w:pPr>
        <w:spacing w:before="160" w:after="80"/>
      </w:pPr>
      <w:r>
        <w:rPr>
          <w:rFonts w:ascii="Arial" w:hAnsi="Arial"/>
          <w:b/>
          <w:sz w:val="24"/>
        </w:rPr>
        <w:t>Que pensamento apareceu com mais força?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rHeight w:val="900" w:hRule="atLeast"/>
        </w:trPr>
        <w:tc>
          <w:tcPr>
            <w:tcW w:type="dxa" w:w="10368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Existe outra forma possível de olhar para essa situação?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rHeight w:val="900" w:hRule="atLeast"/>
        </w:trPr>
        <w:tc>
          <w:tcPr>
            <w:tcW w:type="dxa" w:w="10368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