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Distorções Cognitivas - Guia de Consulta</w:t>
      </w:r>
    </w:p>
    <w:p>
      <w:pPr>
        <w:spacing w:after="200"/>
      </w:pPr>
      <w:r>
        <w:rPr>
          <w:rFonts w:ascii="Arial" w:hAnsi="Arial"/>
          <w:i/>
          <w:sz w:val="18"/>
        </w:rPr>
        <w:t>Material de consulta rápida para TCC e psicoeducação.</w:t>
      </w:r>
    </w:p>
    <w:p>
      <w:pPr>
        <w:spacing w:before="160" w:after="80"/>
      </w:pPr>
      <w:r>
        <w:rPr>
          <w:rFonts w:ascii="Arial" w:hAnsi="Arial"/>
          <w:b/>
          <w:sz w:val="24"/>
        </w:rPr>
        <w:t>O que são?</w:t>
      </w:r>
    </w:p>
    <w:p>
      <w:pPr>
        <w:jc w:val="left"/>
      </w:pPr>
      <w:r>
        <w:rPr>
          <w:rFonts w:ascii="Arial" w:hAnsi="Arial"/>
          <w:sz w:val="20"/>
        </w:rPr>
        <w:t>São formas automáticas e enviesadas de interpretar situações. Elas não significam que a pessoa “pensa errado”, mas que pode estar presa a uma leitura parcial ou rígida.</w:t>
      </w:r>
    </w:p>
    <w:p>
      <w:pPr>
        <w:spacing w:before="160" w:after="80"/>
      </w:pPr>
      <w:r>
        <w:rPr>
          <w:rFonts w:ascii="Arial" w:hAnsi="Arial"/>
          <w:b/>
          <w:sz w:val="24"/>
        </w:rPr>
        <w:t>Exemplos frequentes</w:t>
      </w:r>
    </w:p>
    <w:p>
      <w:pPr>
        <w:ind w:left="288" w:hanging="216"/>
      </w:pPr>
      <w:r>
        <w:rPr>
          <w:rFonts w:ascii="Arial" w:hAnsi="Arial"/>
          <w:sz w:val="19"/>
        </w:rPr>
        <w:t>• Leitura mental: achar que sabe o que o outro pensa sem evidências suficientes.</w:t>
      </w:r>
    </w:p>
    <w:p>
      <w:pPr>
        <w:ind w:left="288" w:hanging="216"/>
      </w:pPr>
      <w:r>
        <w:rPr>
          <w:rFonts w:ascii="Arial" w:hAnsi="Arial"/>
          <w:sz w:val="19"/>
        </w:rPr>
        <w:t>• Catastrofização: imaginar o pior cenário como se fosse inevitável.</w:t>
      </w:r>
    </w:p>
    <w:p>
      <w:pPr>
        <w:ind w:left="288" w:hanging="216"/>
      </w:pPr>
      <w:r>
        <w:rPr>
          <w:rFonts w:ascii="Arial" w:hAnsi="Arial"/>
          <w:sz w:val="19"/>
        </w:rPr>
        <w:t>• Tudo ou nada: ver a situação apenas em extremos.</w:t>
      </w:r>
    </w:p>
    <w:p>
      <w:pPr>
        <w:ind w:left="288" w:hanging="216"/>
      </w:pPr>
      <w:r>
        <w:rPr>
          <w:rFonts w:ascii="Arial" w:hAnsi="Arial"/>
          <w:sz w:val="19"/>
        </w:rPr>
        <w:t>• Desqualificação do positivo: ignorar conquistas, esforços e recursos.</w:t>
      </w:r>
    </w:p>
    <w:p>
      <w:pPr>
        <w:ind w:left="288" w:hanging="216"/>
      </w:pPr>
      <w:r>
        <w:rPr>
          <w:rFonts w:ascii="Arial" w:hAnsi="Arial"/>
          <w:sz w:val="19"/>
        </w:rPr>
        <w:t>• Personalização: assumir culpa excessiva por acontecimentos complexos.</w:t>
      </w:r>
    </w:p>
    <w:p>
      <w:pPr>
        <w:spacing w:before="160" w:after="80"/>
      </w:pPr>
      <w:r>
        <w:rPr>
          <w:rFonts w:ascii="Arial" w:hAnsi="Arial"/>
          <w:b/>
          <w:sz w:val="24"/>
        </w:rPr>
        <w:t>Como usar</w:t>
      </w:r>
    </w:p>
    <w:p>
      <w:pPr>
        <w:jc w:val="left"/>
      </w:pPr>
      <w:r>
        <w:rPr>
          <w:rFonts w:ascii="Arial" w:hAnsi="Arial"/>
          <w:sz w:val="20"/>
        </w:rPr>
        <w:t>Escolha uma situação específica, identifique o pensamento mais forte e veja se algum padrão aparece. Depois, investigue evidências, contexto e alternativas.</w:t>
      </w:r>
    </w:p>
    <w:p>
      <w:pPr>
        <w:spacing w:before="160" w:after="80"/>
      </w:pPr>
      <w:r>
        <w:rPr>
          <w:rFonts w:ascii="Arial" w:hAnsi="Arial"/>
          <w:b/>
          <w:sz w:val="24"/>
        </w:rPr>
        <w:t>Qual padrão apareceu nesta situação?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Que evidências apoiam ou enfraquecem essa interpretação?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