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Ativação Comportamental - Primeiros Passos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para retomada de ações significativas.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Quando a pessoa está desanimada, pode esperar sentir vontade para agir. Mas, em muitos casos, a ação pequena vem antes da motivação.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Como começar</w:t>
      </w:r>
    </w:p>
    <w:p>
      <w:pPr>
        <w:ind w:left="288" w:hanging="216"/>
      </w:pPr>
      <w:r>
        <w:rPr>
          <w:rFonts w:ascii="Arial" w:hAnsi="Arial"/>
          <w:sz w:val="19"/>
        </w:rPr>
        <w:t>• Escolha atividades pequenas e possíveis.</w:t>
      </w:r>
    </w:p>
    <w:p>
      <w:pPr>
        <w:ind w:left="288" w:hanging="216"/>
      </w:pPr>
      <w:r>
        <w:rPr>
          <w:rFonts w:ascii="Arial" w:hAnsi="Arial"/>
          <w:sz w:val="19"/>
        </w:rPr>
        <w:t>• Inclua ações de cuidado, prazer, domínio e vínculo.</w:t>
      </w:r>
    </w:p>
    <w:p>
      <w:pPr>
        <w:ind w:left="288" w:hanging="216"/>
      </w:pPr>
      <w:r>
        <w:rPr>
          <w:rFonts w:ascii="Arial" w:hAnsi="Arial"/>
          <w:sz w:val="19"/>
        </w:rPr>
        <w:t>• Observe o efeito depois da ação, não apenas antes.</w:t>
      </w:r>
    </w:p>
    <w:p>
      <w:pPr>
        <w:ind w:left="288" w:hanging="216"/>
      </w:pPr>
      <w:r>
        <w:rPr>
          <w:rFonts w:ascii="Arial" w:hAnsi="Arial"/>
          <w:sz w:val="19"/>
        </w:rPr>
        <w:t>• Evite metas grandes demais no início.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em sessão</w:t>
      </w:r>
    </w:p>
    <w:p>
      <w:pPr>
        <w:jc w:val="left"/>
      </w:pPr>
      <w:r>
        <w:rPr>
          <w:rFonts w:ascii="Arial" w:hAnsi="Arial"/>
          <w:sz w:val="20"/>
        </w:rPr>
        <w:t>Pode ser usado para planejar microações semanais e investigar barreiras internas ou externas que dificultam retomada da rotina.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Qual pequena ação possível posso testar esta semana?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 que pode dificultar e como posso ajustar?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