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Como Usar Materiais com Pacientes sem Engessar a Sessão</w:t>
      </w:r>
    </w:p>
    <w:p>
      <w:pPr>
        <w:spacing w:after="200"/>
      </w:pPr>
      <w:r>
        <w:rPr>
          <w:rFonts w:ascii="Arial" w:hAnsi="Arial"/>
          <w:i/>
          <w:sz w:val="18"/>
        </w:rPr>
        <w:t>Guia breve para profissionais usarem recursos de forma flexível.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Materiais são apoios, não roteiros obrigatórios. Eles ajudam a organizar, visualizar e abrir conversa, mas não devem substituir escuta, vínculo e raciocínio clínico.</w:t>
      </w:r>
    </w:p>
    <w:p>
      <w:pPr>
        <w:spacing w:before="160" w:after="80"/>
      </w:pPr>
      <w:r>
        <w:rPr>
          <w:rFonts w:ascii="Arial" w:hAnsi="Arial"/>
          <w:b/>
          <w:sz w:val="24"/>
        </w:rPr>
        <w:t>Boas práticas</w:t>
      </w:r>
    </w:p>
    <w:p>
      <w:pPr>
        <w:ind w:left="288" w:hanging="216"/>
      </w:pPr>
      <w:r>
        <w:rPr>
          <w:rFonts w:ascii="Arial" w:hAnsi="Arial"/>
          <w:sz w:val="19"/>
        </w:rPr>
        <w:t>• Apresente o material como convite, não imposição.</w:t>
      </w:r>
    </w:p>
    <w:p>
      <w:pPr>
        <w:ind w:left="288" w:hanging="216"/>
      </w:pPr>
      <w:r>
        <w:rPr>
          <w:rFonts w:ascii="Arial" w:hAnsi="Arial"/>
          <w:sz w:val="19"/>
        </w:rPr>
        <w:t>• Adapte a linguagem ao paciente.</w:t>
      </w:r>
    </w:p>
    <w:p>
      <w:pPr>
        <w:ind w:left="288" w:hanging="216"/>
      </w:pPr>
      <w:r>
        <w:rPr>
          <w:rFonts w:ascii="Arial" w:hAnsi="Arial"/>
          <w:sz w:val="19"/>
        </w:rPr>
        <w:t>• Use poucas ferramentas por sessão.</w:t>
      </w:r>
    </w:p>
    <w:p>
      <w:pPr>
        <w:ind w:left="288" w:hanging="216"/>
      </w:pPr>
      <w:r>
        <w:rPr>
          <w:rFonts w:ascii="Arial" w:hAnsi="Arial"/>
          <w:sz w:val="19"/>
        </w:rPr>
        <w:t>• Não transforme todo encontro em preenchimento.</w:t>
      </w:r>
    </w:p>
    <w:p>
      <w:pPr>
        <w:ind w:left="288" w:hanging="216"/>
      </w:pPr>
      <w:r>
        <w:rPr>
          <w:rFonts w:ascii="Arial" w:hAnsi="Arial"/>
          <w:sz w:val="19"/>
        </w:rPr>
        <w:t>• Observe o que emerge durante o uso do material.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Quando evitar</w:t>
      </w:r>
    </w:p>
    <w:p>
      <w:pPr>
        <w:jc w:val="left"/>
      </w:pPr>
      <w:r>
        <w:rPr>
          <w:rFonts w:ascii="Arial" w:hAnsi="Arial"/>
          <w:sz w:val="20"/>
        </w:rPr>
        <w:t>Evite usar material quando a pessoa precisa antes de acolhimento, contenção emocional, escuta livre ou manejo de risco.</w:t>
      </w:r>
    </w:p>
    <w:p>
      <w:pPr>
        <w:spacing w:before="160" w:after="80"/>
      </w:pPr>
      <w:r>
        <w:rPr>
          <w:rFonts w:ascii="Arial" w:hAnsi="Arial"/>
          <w:b/>
          <w:sz w:val="24"/>
        </w:rPr>
        <w:t>Em quais casos o material ajuda?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Em quais casos pode atrapalhar se eu usar cedo demais?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