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20" w:line="240" w:lineRule="auto"/>
        <w:jc w:val="left"/>
      </w:pPr>
      <w:r>
        <w:rPr>
          <w:rFonts w:ascii="Arial" w:hAnsi="Arial"/>
          <w:b/>
          <w:i w:val="0"/>
          <w:color w:val="000000"/>
          <w:sz w:val="54"/>
        </w:rPr>
        <w:t>Singleton</w:t>
      </w:r>
    </w:p>
    <w:p>
      <w:pPr>
        <w:keepNext/>
        <w:spacing w:before="0" w:after="100" w:line="240" w:lineRule="auto"/>
      </w:pPr>
      <w:r>
        <w:rPr>
          <w:rFonts w:ascii="Arial" w:hAnsi="Arial"/>
          <w:b/>
          <w:i w:val="0"/>
          <w:color w:val="707070"/>
          <w:sz w:val="19"/>
        </w:rPr>
        <w:t>PADRÃO CRIACIONAL</w:t>
      </w:r>
      <w:r>
        <w:rPr>
          <w:rFonts w:ascii="Arial" w:hAnsi="Arial"/>
          <w:b w:val="0"/>
          <w:i w:val="0"/>
          <w:color w:val="707070"/>
          <w:sz w:val="19"/>
        </w:rPr>
        <w:t xml:space="preserve">   Uma classe, uma instância e um acesso controlado</w:t>
      </w:r>
    </w:p>
    <w:p>
      <w:pPr>
        <w:keepNext w:val="0"/>
        <w:spacing w:before="0" w:after="100" w:line="269" w:lineRule="auto"/>
      </w:pPr>
      <w:r>
        <w:rPr>
          <w:rFonts w:ascii="Arial" w:hAnsi="Arial"/>
          <w:b/>
          <w:i w:val="0"/>
          <w:color w:val="000000"/>
          <w:sz w:val="21"/>
        </w:rPr>
        <w:t xml:space="preserve">Definição. </w:t>
      </w:r>
      <w:r>
        <w:rPr>
          <w:rFonts w:ascii="Arial" w:hAnsi="Arial"/>
          <w:b w:val="0"/>
          <w:i w:val="0"/>
          <w:color w:val="000000"/>
          <w:sz w:val="21"/>
        </w:rPr>
        <w:t xml:space="preserve">O Singleton garante que uma classe tenha </w:t>
      </w:r>
      <w:r>
        <w:rPr>
          <w:rFonts w:ascii="Arial" w:hAnsi="Arial"/>
          <w:b/>
          <w:i w:val="0"/>
          <w:color w:val="000000"/>
          <w:sz w:val="21"/>
        </w:rPr>
        <w:t>uma única instância</w:t>
      </w:r>
      <w:r>
        <w:rPr>
          <w:rFonts w:ascii="Arial" w:hAnsi="Arial"/>
          <w:b w:val="0"/>
          <w:i w:val="0"/>
          <w:color w:val="000000"/>
          <w:sz w:val="21"/>
        </w:rPr>
        <w:t xml:space="preserve"> e fornece um ponto global e controlado para acessá-la. Ele faz sentido quando todos os módulos precisam compartilhar exatamente o mesmo objeto e o mesmo estado.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430"/>
            <w:shd w:fill="E8E8E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C9C9C9"/>
              <w:bottom w:val="single" w:sz="8" w:color="C9C9C9"/>
              <w:start w:val="single" w:sz="8" w:color="C9C9C9"/>
              <w:end w:val="single" w:sz="8" w:color="C9C9C9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POLÍCIA</w:t>
            </w:r>
          </w:p>
        </w:tc>
        <w:tc>
          <w:tcPr>
            <w:tcW w:type="dxa" w:w="3430"/>
            <w:shd w:fill="E8E8E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C9C9C9"/>
              <w:bottom w:val="single" w:sz="8" w:color="C9C9C9"/>
              <w:start w:val="single" w:sz="8" w:color="C9C9C9"/>
              <w:end w:val="single" w:sz="8" w:color="C9C9C9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BOMBEIROS</w:t>
            </w:r>
          </w:p>
        </w:tc>
        <w:tc>
          <w:tcPr>
            <w:tcW w:type="dxa" w:w="3430"/>
            <w:shd w:fill="E8E8E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C9C9C9"/>
              <w:bottom w:val="single" w:sz="8" w:color="C9C9C9"/>
              <w:start w:val="single" w:sz="8" w:color="C9C9C9"/>
              <w:end w:val="single" w:sz="8" w:color="C9C9C9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SAMU</w:t>
            </w:r>
          </w:p>
        </w:tc>
      </w:tr>
      <w:tr>
        <w:tc>
          <w:tcPr>
            <w:tcW w:type="dxa" w:w="10290"/>
            <w:gridSpan w:val="3"/>
            <w:shd w:fill="F5F5F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C9C9C9"/>
              <w:bottom w:val="single" w:sz="8" w:color="C9C9C9"/>
              <w:start w:val="single" w:sz="8" w:color="C9C9C9"/>
              <w:end w:val="single" w:sz="8" w:color="C9C9C9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Todos chamam CentralDeAlertas.getInstancia()</w:t>
            </w:r>
          </w:p>
        </w:tc>
      </w:tr>
      <w:tr>
        <w:tc>
          <w:tcPr>
            <w:tcW w:type="dxa" w:w="10290"/>
            <w:gridSpan w:val="3"/>
            <w:shd w:fill="2828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C9C9C9"/>
              <w:bottom w:val="single" w:sz="8" w:color="C9C9C9"/>
              <w:start w:val="single" w:sz="8" w:color="C9C9C9"/>
              <w:end w:val="single" w:sz="8" w:color="C9C9C9"/>
            </w:tcBorders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UMA ÚNICA CENTRAL DE ALERTAS</w:t>
            </w:r>
          </w:p>
        </w:tc>
      </w:tr>
    </w:tbl>
    <w:p>
      <w:pPr>
        <w:keepNext w:val="0"/>
        <w:spacing w:before="30" w:after="70" w:line="240" w:lineRule="auto"/>
        <w:jc w:val="center"/>
      </w:pPr>
      <w:r>
        <w:rPr>
          <w:rFonts w:ascii="Arial" w:hAnsi="Arial"/>
          <w:b w:val="0"/>
          <w:i/>
          <w:color w:val="707070"/>
          <w:sz w:val="16"/>
        </w:rPr>
        <w:t>Analogia: módulos diferentes consultam a mesma central e o mesmo histórico.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131"/>
            <w:tcMar>
              <w:top w:w="0" w:type="dxa"/>
              <w:start w:w="0" w:type="dxa"/>
              <w:bottom w:w="0" w:type="dxa"/>
              <w:end w:w="170" w:type="dxa"/>
            </w:tcMar>
            <w:tcBorders>
              <w:top w:val="nil" w:sz="0" w:color="FFFFFF"/>
              <w:bottom w:val="nil" w:sz="0" w:color="FFFFFF"/>
              <w:start w:val="nil" w:sz="0" w:color="FFFFFF"/>
              <w:end w:val="nil" w:sz="0" w:color="FFFFFF"/>
            </w:tcBorders>
          </w:tcPr>
          <w:p>
            <w:pPr>
              <w:keepNext w:val="0"/>
              <w:spacing w:before="0" w:after="0" w:line="240" w:lineRule="auto"/>
            </w:pPr>
            <w:r/>
          </w:p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Estrutura mínima em Java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31"/>
            </w:tblGrid>
            <w:tr>
              <w:tc>
                <w:tcPr>
                  <w:tcW w:type="dxa" w:w="5131"/>
                  <w:shd w:fill="F5F5F5"/>
                  <w:tcMar>
                    <w:top w:w="100" w:type="dxa"/>
                    <w:start w:w="120" w:type="dxa"/>
                    <w:bottom w:w="100" w:type="dxa"/>
                    <w:end w:w="8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Courier New" w:hAnsi="Courier New"/>
                      <w:b w:val="0"/>
                      <w:i w:val="0"/>
                      <w:color w:val="000000"/>
                      <w:sz w:val="16"/>
                    </w:rPr>
                    <w:t>private static final CentralDeAlertas</w:t>
                    <w:br/>
                    <w:t xml:space="preserve">    INSTANCIA = new CentralDeAlertas();</w:t>
                    <w:br/>
                    <w:br/>
                    <w:t>private CentralDeAlertas() { }</w:t>
                    <w:br/>
                    <w:br/>
                    <w:t>public static CentralDeAlertas getInstancia() {</w:t>
                    <w:br/>
                    <w:t xml:space="preserve">    return INSTANCIA;</w:t>
                    <w:br/>
                    <w:t>}</w:t>
                  </w:r>
                </w:p>
              </w:tc>
            </w:tr>
          </w:tbl>
          <w:p/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Como funciona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1. A classe cria e guarda a instância em um campo estático.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2. O construtor privado impede novas centrais fora da classe.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3. </w:t>
            </w:r>
            <w:r>
              <w:rPr>
                <w:rFonts w:ascii="Courier New" w:hAnsi="Courier New"/>
                <w:b/>
                <w:i w:val="0"/>
                <w:color w:val="000000"/>
                <w:sz w:val="19"/>
              </w:rPr>
              <w:t>getInstancia()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sempre devolve o mesmo objeto.</w:t>
            </w:r>
          </w:p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Prova no programa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Courier New" w:hAnsi="Courier New"/>
                <w:b/>
                <w:i w:val="0"/>
                <w:color w:val="000000"/>
                <w:sz w:val="19"/>
              </w:rPr>
              <w:t>centralDaPolicia == centralDosBombeiros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 xml:space="preserve"> retorna </w:t>
            </w:r>
            <w:r>
              <w:rPr>
                <w:rFonts w:ascii="Courier New" w:hAnsi="Courier New"/>
                <w:b/>
                <w:i w:val="0"/>
                <w:color w:val="000000"/>
                <w:sz w:val="19"/>
              </w:rPr>
              <w:t>true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. Os alertas dos três órgãos aparecem no mesmo histórico.</w:t>
            </w:r>
          </w:p>
        </w:tc>
        <w:tc>
          <w:tcPr>
            <w:tcW w:type="dxa" w:w="5131"/>
            <w:tcMar>
              <w:top w:w="0" w:type="dxa"/>
              <w:start w:w="0" w:type="dxa"/>
              <w:bottom w:w="0" w:type="dxa"/>
              <w:end w:w="170" w:type="dxa"/>
            </w:tcMar>
            <w:tcBorders>
              <w:top w:val="nil" w:sz="0" w:color="FFFFFF"/>
              <w:bottom w:val="nil" w:sz="0" w:color="FFFFFF"/>
              <w:start w:val="nil" w:sz="0" w:color="FFFFFF"/>
              <w:end w:val="nil" w:sz="0" w:color="FFFFFF"/>
            </w:tcBorders>
          </w:tcPr>
          <w:p>
            <w:pPr>
              <w:keepNext w:val="0"/>
              <w:spacing w:before="0" w:after="0" w:line="240" w:lineRule="auto"/>
            </w:pPr>
            <w:r/>
          </w:p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Quando usar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 unicidade faz parte do requisito: configurações da aplicação, registro central de eventos ou gerenciador local de recursos.</w:t>
            </w:r>
          </w:p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Quando evitar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Cada usuário, sessão ou tarefa precisa do próprio estado. Carrinho de compras e usuário autenticado não devem ser Singletons.</w:t>
            </w:r>
          </w:p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Vantagens</w:t>
            </w:r>
          </w:p>
          <w:p>
            <w:pPr>
              <w:keepNext w:val="0"/>
              <w:spacing w:before="0" w:after="60" w:line="259" w:lineRule="auto"/>
              <w:ind w:left="198" w:hanging="142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- 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Garante uma instância e centraliza o acesso ao recurso compartilhado.</w:t>
            </w:r>
          </w:p>
          <w:p>
            <w:pPr>
              <w:keepNext w:val="0"/>
              <w:spacing w:before="0" w:after="60" w:line="259" w:lineRule="auto"/>
              <w:ind w:left="198" w:hanging="142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- 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Evita objetos duplicados quando a duplicação quebraria o sistema.</w:t>
            </w:r>
          </w:p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Cuidados</w:t>
            </w:r>
          </w:p>
          <w:p>
            <w:pPr>
              <w:keepNext w:val="0"/>
              <w:spacing w:before="0" w:after="60" w:line="259" w:lineRule="auto"/>
              <w:ind w:left="198" w:hanging="142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- 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 acesso global pode esconder dependências e dificultar testes isolados.</w:t>
            </w:r>
          </w:p>
          <w:p>
            <w:pPr>
              <w:keepNext w:val="0"/>
              <w:spacing w:before="0" w:after="60" w:line="259" w:lineRule="auto"/>
              <w:ind w:left="198" w:hanging="142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- 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Proteger a criação não torna automaticamente o estado interno seguro entre threads.</w:t>
            </w:r>
          </w:p>
          <w:p>
            <w:pPr>
              <w:keepNext w:val="0"/>
              <w:spacing w:before="0" w:after="60" w:line="259" w:lineRule="auto"/>
              <w:ind w:left="198" w:hanging="142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 xml:space="preserve">- </w:t>
            </w: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 instância é única normalmente por JVM, não entre vários servidores.</w:t>
            </w:r>
          </w:p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Datasheet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2565"/>
              <w:gridCol w:w="2565"/>
            </w:tblGrid>
            <w:tr>
              <w:tc>
                <w:tcPr>
                  <w:tcW w:type="dxa" w:w="1729"/>
                  <w:shd w:fill="E8E8E8"/>
                  <w:tcMar>
                    <w:top w:w="65" w:type="dxa"/>
                    <w:start w:w="90" w:type="dxa"/>
                    <w:bottom w:w="65" w:type="dxa"/>
                    <w:end w:w="7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  <w:vAlign w:val="center"/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Arial" w:hAnsi="Arial"/>
                      <w:b/>
                      <w:i w:val="0"/>
                      <w:color w:val="000000"/>
                      <w:sz w:val="17"/>
                    </w:rPr>
                    <w:t>Categoria</w:t>
                  </w:r>
                </w:p>
              </w:tc>
              <w:tc>
                <w:tcPr>
                  <w:tcW w:type="dxa" w:w="3146"/>
                  <w:shd w:fill="FFFFFF"/>
                  <w:tcMar>
                    <w:top w:w="65" w:type="dxa"/>
                    <w:start w:w="90" w:type="dxa"/>
                    <w:bottom w:w="65" w:type="dxa"/>
                    <w:end w:w="7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  <w:vAlign w:val="center"/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17"/>
                    </w:rPr>
                    <w:t>Criacional</w:t>
                  </w:r>
                </w:p>
              </w:tc>
            </w:tr>
            <w:tr>
              <w:tc>
                <w:tcPr>
                  <w:tcW w:type="dxa" w:w="1729"/>
                  <w:shd w:fill="F5F5F5"/>
                  <w:tcMar>
                    <w:top w:w="65" w:type="dxa"/>
                    <w:start w:w="90" w:type="dxa"/>
                    <w:bottom w:w="65" w:type="dxa"/>
                    <w:end w:w="7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  <w:vAlign w:val="center"/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Arial" w:hAnsi="Arial"/>
                      <w:b/>
                      <w:i w:val="0"/>
                      <w:color w:val="000000"/>
                      <w:sz w:val="17"/>
                    </w:rPr>
                    <w:t>Responsabilidade</w:t>
                  </w:r>
                </w:p>
              </w:tc>
              <w:tc>
                <w:tcPr>
                  <w:tcW w:type="dxa" w:w="3146"/>
                  <w:shd w:fill="F5F5F5"/>
                  <w:tcMar>
                    <w:top w:w="65" w:type="dxa"/>
                    <w:start w:w="90" w:type="dxa"/>
                    <w:bottom w:w="65" w:type="dxa"/>
                    <w:end w:w="7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  <w:vAlign w:val="center"/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17"/>
                    </w:rPr>
                    <w:t>Controlar criação e acesso</w:t>
                  </w:r>
                </w:p>
              </w:tc>
            </w:tr>
            <w:tr>
              <w:tc>
                <w:tcPr>
                  <w:tcW w:type="dxa" w:w="1729"/>
                  <w:shd w:fill="E8E8E8"/>
                  <w:tcMar>
                    <w:top w:w="65" w:type="dxa"/>
                    <w:start w:w="90" w:type="dxa"/>
                    <w:bottom w:w="65" w:type="dxa"/>
                    <w:end w:w="7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  <w:vAlign w:val="center"/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Arial" w:hAnsi="Arial"/>
                      <w:b/>
                      <w:i w:val="0"/>
                      <w:color w:val="000000"/>
                      <w:sz w:val="17"/>
                    </w:rPr>
                    <w:t>Método típico</w:t>
                  </w:r>
                </w:p>
              </w:tc>
              <w:tc>
                <w:tcPr>
                  <w:tcW w:type="dxa" w:w="3146"/>
                  <w:shd w:fill="FFFFFF"/>
                  <w:tcMar>
                    <w:top w:w="65" w:type="dxa"/>
                    <w:start w:w="90" w:type="dxa"/>
                    <w:bottom w:w="65" w:type="dxa"/>
                    <w:end w:w="7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  <w:vAlign w:val="center"/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Courier New" w:hAnsi="Courier New"/>
                      <w:b w:val="0"/>
                      <w:i w:val="0"/>
                      <w:color w:val="000000"/>
                      <w:sz w:val="17"/>
                    </w:rPr>
                    <w:t>getInstancia()</w:t>
                  </w:r>
                </w:p>
              </w:tc>
            </w:tr>
            <w:tr>
              <w:tc>
                <w:tcPr>
                  <w:tcW w:type="dxa" w:w="1729"/>
                  <w:shd w:fill="F5F5F5"/>
                  <w:tcMar>
                    <w:top w:w="65" w:type="dxa"/>
                    <w:start w:w="90" w:type="dxa"/>
                    <w:bottom w:w="65" w:type="dxa"/>
                    <w:end w:w="7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  <w:vAlign w:val="center"/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Arial" w:hAnsi="Arial"/>
                      <w:b/>
                      <w:i w:val="0"/>
                      <w:color w:val="000000"/>
                      <w:sz w:val="17"/>
                    </w:rPr>
                    <w:t>Sinal de uso</w:t>
                  </w:r>
                </w:p>
              </w:tc>
              <w:tc>
                <w:tcPr>
                  <w:tcW w:type="dxa" w:w="3146"/>
                  <w:shd w:fill="F5F5F5"/>
                  <w:tcMar>
                    <w:top w:w="65" w:type="dxa"/>
                    <w:start w:w="90" w:type="dxa"/>
                    <w:bottom w:w="65" w:type="dxa"/>
                    <w:end w:w="70" w:type="dxa"/>
                  </w:tcMar>
                  <w:tcBorders>
                    <w:top w:val="single" w:sz="7" w:color="C9C9C9"/>
                    <w:bottom w:val="single" w:sz="7" w:color="C9C9C9"/>
                    <w:start w:val="single" w:sz="7" w:color="C9C9C9"/>
                    <w:end w:val="single" w:sz="7" w:color="C9C9C9"/>
                  </w:tcBorders>
                  <w:vAlign w:val="center"/>
                </w:tcPr>
                <w:p>
                  <w:pPr>
                    <w:keepNext w:val="0"/>
                    <w:spacing w:before="0" w:after="0" w:line="240" w:lineRule="auto"/>
                  </w:pPr>
                  <w:r/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17"/>
                    </w:rPr>
                    <w:t>Recurso realmente único</w:t>
                  </w:r>
                </w:p>
              </w:tc>
            </w:tr>
          </w:tbl>
          <w:p/>
          <w:p>
            <w:pPr>
              <w:keepNext/>
              <w:spacing w:before="120" w:after="5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Perguntas rápidas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 xml:space="preserve">Por que não usar new?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Porque ele permitiria criar outra central.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 xml:space="preserve">É uma classe estática?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Não. O Singleton continua sendo um objeto.</w:t>
            </w:r>
          </w:p>
        </w:tc>
      </w:tr>
    </w:tbl>
    <w:p>
      <w:pPr>
        <w:keepNext w:val="0"/>
        <w:spacing w:before="100" w:after="0" w:line="252" w:lineRule="auto"/>
        <w:jc w:val="center"/>
      </w:pPr>
      <w:r>
        <w:rPr>
          <w:rFonts w:ascii="Arial" w:hAnsi="Arial"/>
          <w:b/>
          <w:i w:val="0"/>
          <w:color w:val="000000"/>
          <w:sz w:val="20"/>
        </w:rPr>
        <w:t xml:space="preserve">REGRA PRÁTICA  </w:t>
      </w:r>
      <w:r>
        <w:rPr>
          <w:rFonts w:ascii="Arial" w:hAnsi="Arial"/>
          <w:b w:val="0"/>
          <w:i w:val="0"/>
          <w:color w:val="000000"/>
          <w:sz w:val="20"/>
        </w:rPr>
        <w:t>Use Singleton quando o sistema precisa provar que existe uma única instância compartilhada.</w:t>
      </w:r>
    </w:p>
    <w:sectPr w:rsidR="00FC693F" w:rsidRPr="0006063C" w:rsidSect="00034616">
      <w:pgSz w:w="11906" w:h="16838"/>
      <w:pgMar w:top="652" w:right="680" w:bottom="595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padrão Singleton</dc:title>
  <dc:subject>Datasheet acadêmico sobre o padrão Singleton</dc:subject>
  <dc:creator>Equipe Singleton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