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E9B6" w14:textId="70DA7D1A" w:rsidR="0098709E" w:rsidRDefault="00242B3A">
      <w:pPr>
        <w:rPr>
          <w:noProof/>
        </w:rPr>
      </w:pPr>
      <w:r>
        <w:rPr>
          <w:noProof/>
        </w:rPr>
        <w:t>7 – Analise o diagrama de comando e preencha o diagrama de funcionamento abaixo. Considere os cilindros 1 e 2 inicialmente avançados.</w:t>
      </w:r>
    </w:p>
    <w:p w14:paraId="08FE33C1" w14:textId="24FA88E6" w:rsidR="00242B3A" w:rsidRDefault="00C805FB">
      <w:r>
        <w:rPr>
          <w:noProof/>
        </w:rPr>
        <w:drawing>
          <wp:inline distT="0" distB="0" distL="0" distR="0" wp14:anchorId="3A62ABD5" wp14:editId="67FD1B89">
            <wp:extent cx="5400040" cy="7159625"/>
            <wp:effectExtent l="0" t="0" r="0" b="3175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 07_Proposiçã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E"/>
    <w:rsid w:val="000F227E"/>
    <w:rsid w:val="001514C6"/>
    <w:rsid w:val="00242B3A"/>
    <w:rsid w:val="00395700"/>
    <w:rsid w:val="004E52D7"/>
    <w:rsid w:val="0098709E"/>
    <w:rsid w:val="00C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7034"/>
  <w15:chartTrackingRefBased/>
  <w15:docId w15:val="{C32B1874-FA36-46F8-A28E-C6EAA2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358CD98E-C895-49B0-A694-8F2206059B54}"/>
</file>

<file path=customXml/itemProps2.xml><?xml version="1.0" encoding="utf-8"?>
<ds:datastoreItem xmlns:ds="http://schemas.openxmlformats.org/officeDocument/2006/customXml" ds:itemID="{358A08DC-68CB-4318-8A21-496E3ABB522E}"/>
</file>

<file path=customXml/itemProps3.xml><?xml version="1.0" encoding="utf-8"?>
<ds:datastoreItem xmlns:ds="http://schemas.openxmlformats.org/officeDocument/2006/customXml" ds:itemID="{0700C858-1741-4325-8044-4A493AA93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5</cp:revision>
  <dcterms:created xsi:type="dcterms:W3CDTF">2020-05-14T15:29:00Z</dcterms:created>
  <dcterms:modified xsi:type="dcterms:W3CDTF">2020-05-14T15:32:00Z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