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SENESCÊNCIA REPRODUTIVA EM GARANHÕES: ESTRESSE OXIDATIVO SISTÊMICO E SEMINAL, PERFIL HORMONAL, PARÂMETROS ESPERMÁTICOS E PROTEÔMICA EM ANIMAIS JOVENS E SENIS</w:t>
      </w:r>
    </w:p>
    <w:p>
      <w:pPr>
        <w:pStyle w:val="BodyText"/>
      </w:pPr>
      <w:r>
        <w:t xml:space="preserve">Doutoranda: Iara Nóbrega Macêdo Petelinkar</w:t>
      </w:r>
      <w:r>
        <w:t xml:space="preserve"> </w:t>
      </w:r>
      <w:r>
        <w:t xml:space="preserve">Orientador: Prof. Dr. Gabriel Augusto Monteiro (DRARV/CERAN — FMVZ/UNESP Botucatu)</w:t>
      </w:r>
      <w:r>
        <w:t xml:space="preserve"> </w:t>
      </w:r>
      <w:r>
        <w:t xml:space="preserve">Programa de Pós-Graduação em Biotecnologia Animal — FMVZ/UNESP Botucatu</w:t>
      </w:r>
      <w:r>
        <w:t xml:space="preserve"> </w:t>
      </w:r>
      <w:r>
        <w:t xml:space="preserve">Número CEUA: a preencher após aprovação</w:t>
      </w:r>
    </w:p>
    <w:p>
      <w:pPr>
        <w:pStyle w:val="BodyText"/>
      </w:pPr>
      <w:r>
        <w:t xml:space="preserve">Resumo</w:t>
      </w:r>
      <w:r>
        <w:t xml:space="preserve"> </w:t>
      </w:r>
      <w:r>
        <w:t xml:space="preserve">O envelhecimento reprodutivo em garanhões representa problema de impacto econômico expressivo para a equideocultura mundial. A degeneração testicular idiopática (ITD — do inglês Idiopathic Testicular Degeneration) é a principal causa de subfertilidade em reprodutores de meia-idade e idosos, caracterizada por inflamação crônica de baixo grau (inflammaging), disfunção mitocondrial e desequilíbrio redox sistêmico e seminal, sem tratamento comprovado (TURNER, 2019). O perfil hormonal se altera de forma característica: queda progressiva de testosterona, estradiol e inibina B, com elevação compensatória de FSH e LH. Apesar da relevância clínica e econômica, nenhum estudo correlacionou sistematicamente marcadores de estresse oxidativo no sangue com o status redox seminal, o perfil hormonal e a qualidade espermática em garanhões estratificados por faixa etária. El-Sisy et al. (2016) correlacionaram catalase sanguínea com motilidade espermática e MDA seminal com normalidade espermática em garanhões Árabes, porém não utilizaram TBARS clássico (Ohkawa), TAC, painel hormonal completo (inibina B, FSH, LH), citometria de fluxo nem avaliação de sêmen refrigerado ou congelado — lacunas que constituem as reais novidades do presente projeto.</w:t>
      </w:r>
      <w:r>
        <w:t xml:space="preserve"> </w:t>
      </w:r>
      <w:r>
        <w:t xml:space="preserve">Este projeto propõe avaliar o impacto da senescência reprodutiva sobre: (a) perfil hormonal — testosterona, estradiol, FSH, LH e inibina B; (b) estresse oxidativo (EO) sistêmico no plasma sanguíneo — substâncias reativas ao ácido tiobarbitúrico (TBARS), superóxido dismutase (SOD), catalase (CAT), glutationa peroxidase (GPx) e capacidade antioxidante total (TAC); (c) EO seminal — TBARS e TAC no plasma seminal; (d) parâmetros espermáticos por análise computadorizada de sêmen (CASA), morfologia (DIC, 200 células, CBRA 2013), citometria de fluxo com sete protocolos — incluindo potencial mitocondrial, ROS, lipoperoxidação por C11-BODIPY e fragmentação de DNA (SCSA); (e) ultrassonografia Doppler e termografia escrotal; e (f) proteômica do plasma seminal por LC-MS/MS (condicional). Serão utilizados 24 garanhões: Grupo Jovem (GJ, 5–10 anos, n = 12) e Grupo Senil (GS, ≥ 16 anos, n = 12), com duas coletas por animal na estação reprodutiva. Constituição de biobanco de espermatozoides lavados a −80°C para estudos futuros de epigenômica.</w:t>
      </w:r>
      <w:r>
        <w:t xml:space="preserve"> </w:t>
      </w:r>
      <w:r>
        <w:t xml:space="preserve">A normalidade será verificada por Shapiro-Wilk; comparações entre grupos por teste t de Student ou Mann-Whitney; correlações por Pearson ou Spearman; P &lt; 0,05; software R.</w:t>
      </w:r>
    </w:p>
    <w:p>
      <w:pPr>
        <w:pStyle w:val="BodyText"/>
      </w:pPr>
      <w:r>
        <w:t xml:space="preserve">Palavras-chave: envelhecimento; garanhão; degeneração testicular idiopática; estresse oxidativo; TBARS; TAC; inibina B; FSH; qualidade espermática; biobanco; proteômica seminal.</w:t>
      </w:r>
      <w:r>
        <w:t xml:space="preserve"> </w:t>
      </w:r>
      <w:r>
        <w:t xml:space="preserve">1. Enunciado do Problema / Justificativa</w:t>
      </w:r>
      <w:r>
        <w:t xml:space="preserve"> </w:t>
      </w:r>
      <w:r>
        <w:t xml:space="preserve">A fertilidade do garanhão é fator crítico tanto para seu valor econômico quanto para sua influência sobre a população reprodutiva; portanto, variáveis capazes de reduzi-la devem ser identificadas e mitigadas como parte essencial do manejo reprodutivo (KHAN et al., 2025). Na indústria equina, o declínio da fertilidade associado ao envelhecimento testicular é fenômeno comum em garanhões de meia-idade e idosos e pode ser causa de perdas econômicas significativas (TURNER, 2019). A longevidade da carreira reprodutiva constitui o objetivo primário do manejo do garanhão, seja por monta natural ou por coleta de sêmen para inseminação artificial (WAQAS; ARROYO; TIBARY, 2024).</w:t>
      </w:r>
      <w:r>
        <w:t xml:space="preserve"> </w:t>
      </w:r>
      <w:r>
        <w:t xml:space="preserve">A degeneração testicular idiopática (ITD) é causa comum de subfertilidade e infertilidade em garanhões, podendo ser dividida em duas categorias: casos resultantes de agressão testicular conhecida e a ITD relacionada à idade (TURNER, 2007). A ITD é uma doença tecido-autóloga — o problema reside no próprio parênquima testicular, não no eixo hipotálamo-hipófise-gonadal (HHG). Em experimentos de xenoenxerto, tecido testicular degenerado de garanhões idosos transplantado para camundongos imunodeficientes com ambiente hormonal jovem continuou degenerando sem reconstituir espermatogênese, diferentemente de tecido criptorquídeo e pré-puberal que responderam positivamente (TURNER et al., 2010). Clinicamente, a ITD progride em quatro estágios: desde redução discreta do output espermático até fragmentação de DNA e volume testicular inferior a 60% do tamanho na maturidade (TURNER, 2019). Não existe tratamento comprovado, e estimulação hormonal é ineficaz por tratar-se de doença tecido-autóloga (TURNER; ZENG, 2012).</w:t>
      </w:r>
      <w:r>
        <w:t xml:space="preserve"> </w:t>
      </w:r>
      <w:r>
        <w:t xml:space="preserve">Do ponto de vista celular, a fisiopatologia da ITD envolve três eixos interligados. O primeiro é a inflamação crônica de baixo grau — Woodward et al. (2023), no primeiro estudo transcriptômico de testículos equinos com degeneração senil, identificaram regulação positiva de vias inflamatórias mediadas por citocinas (especialmente CSF1) e desregulação de SHISA6 (via Wnt/β-catenina), envolvida na auto-renovação de espermatogônias-tronco. O segundo eixo é a disfunção mitocondrial espermática — Darr et al. (2017) demonstraram que a motilidade total pós-descongelamento atingiu pico em torno dos 12 anos e declinou de forma evidente após os 13 anos em 88 ejaculados de 19 garanhões com 4 a 19 anos, com aumento concomitante de produção de ROS. Em complemento, Darr et al. (2017) demonstraram que maior número de cópias do gene citocromo b (CYTB) do DNA mitocondrial estava associado a menor probabilidade de movimento espermático (redução de 4% por unidade de CYTB, P = 0,001), com dados de 37 garanhões Quarto de Milha (3–24 anos). O terceiro eixo é o desequilíbrio redox sistêmico — Asahi, Arai e Tanaka (2024) documentaram que cavalos acima de 17 anos apresentam MDA plasmático significativamente maior e SOD plasmática significativamente menor do que animais jovens (&lt; 10 anos), confirmando que o perfil oxidativo sistêmico se deteriora com o envelhecimento equino independentemente de obesidade.</w:t>
      </w:r>
      <w:r>
        <w:t xml:space="preserve"> </w:t>
      </w:r>
      <w:r>
        <w:t xml:space="preserve">Quanto ao perfil espermático por faixa etária, Al-Kheraije et al. (2021) avaliaram 108 ejaculados de nove garanhões Árabes (4–22 anos) divididos em três grupos e demonstraram superioridade seminal dos grupos jovem e adulto sobre o grupo senil (15–22 anos, P &lt; 0,05) em contagem, viabilidade, motilidade e proporção de espermatozoides morfologicamente normais. Harris et al. (2023), em revisão sistemática e meta-regressão com 229 artigos (1991–2021), demonstraram que a motilidade progressiva espermática equina declinou 21,34% entre 1984 e 2019 após controle por raça, localização geográfica, hemisfério e equipamento CASA.</w:t>
      </w:r>
      <w:r>
        <w:t xml:space="preserve"> </w:t>
      </w:r>
      <w:r>
        <w:t xml:space="preserve">O garanhão constitui modelo translacional importante para o envelhecimento reprodutivo masculino: dependência predominante de fosforilação oxidativa (OXPHOS) para produção de ATP — diferentemente de bovinos e humanos (DARR et al., 2016) —, o que o torna especialmente vulnerável à disfunção mitocondrial. As membranas espermáticas apresentam elevado conteúdo de ácidos graxos poli-insaturados (PUFAs), tornando os espermatozoides particularmente suscetíveis ao dano peroxidativo gerado como subproduto do metabolismo celular (GIBB et al., 2021). Com o envelhecimento, a lipoperoxidação de membrana espermática avaliada por citometria de fluxo com C11-BODIPY 581/591 aumenta progressivamente por faixa etária (PEÑA et al., 2019).</w:t>
      </w:r>
      <w:r>
        <w:t xml:space="preserve"> </w:t>
      </w:r>
      <w:r>
        <w:t xml:space="preserve">A ponte entre EO sistêmico e seminal permanece inexplorada na espécie equina. Em garanhões Árabes divididos por faixa etária, El-Sisy et al. (2016) documentaram correlação negativa entre MDA seminal e normalidade espermática (r = −0,69; P &lt; 0,05) e correlação positiva entre catalase sanguínea e motilidade (r = 0,83; P &lt; 0,001) — mas sem TBARS seminal clássico, sem painel hormonal completo (inibina B, FSH, LH), sem citometria de fluxo e sem avaliação de refrigeração ou congelação. Morte et al. (2008) demonstraram que o TBARS no plasma seminal constitui indicador geral de dano espermático em garanhões. Em humanos, Benedetti et al. (2012) confirmaram que TAC sanguíneo correlaciona-se positivamente com TAC seminal e parâmetros de qualidade espermática. Em camundongos, Selvaratnam e Robaire (2016) demonstraram que a SOD1 é a enzima crítica para a manutenção da qualidade das células germinativas com o envelhecimento.</w:t>
      </w:r>
      <w:r>
        <w:t xml:space="preserve"> </w:t>
      </w:r>
      <w:r>
        <w:t xml:space="preserve">Em relação ao perfil hormonal, Stewart e Roser (1998) e Nagata et al. (1998) demonstraram que inibina B, estradiol e estrógenos conjugados são significativamente menores em garanhões inférteis, sendo a inibina B o marcador mais direto e específico de integridade do epitélio seminífero e função Sertoliana. Para a avaliação por imagem, Ortega-Ferrusola et al. (2014) demonstraram, em 20 garanhões férteis e subférteis, que a artéria capsular é o local mais confiável para avaliação Doppler espectral, com seus parâmetros apresentando as correlações mais estreitas com qualidade espermática, e que garanhões subférteis tendem a apresentar IR e IP elevados.</w:t>
      </w:r>
      <w:r>
        <w:t xml:space="preserve"> </w:t>
      </w:r>
      <w:r>
        <w:t xml:space="preserve">Nenhum estudo publicado correlacionou sistematicamente EO sistêmico, EO seminal, perfil hormonal completo e qualidade espermática em garanhões estratificados por faixa etária, com avaliação andrológica completa, Doppler e termografia. O presente projeto preenche essas lacunas, realizando pela primeira vez em equinos: (a) correlação sangue × sêmen via TBARS e TAC por faixa etária; (b) painel hormonal completo associado aos dados oxidativos; (c) citometria de fluxo com sete protocolos funcionais; (d) avaliação do sêmen fresco, refrigerado (dois diluidores) e congelado; e (e) biobanco de DNA espermático a −80°C para estudos futuros de epigenômica.</w:t>
      </w:r>
      <w:r>
        <w:t xml:space="preserve"> </w:t>
      </w:r>
      <w:r>
        <w:t xml:space="preserve">2. Objetivos e Hipóteses</w:t>
      </w:r>
      <w:r>
        <w:t xml:space="preserve"> </w:t>
      </w:r>
      <w:r>
        <w:t xml:space="preserve">2.1 Objetivo Geral</w:t>
      </w:r>
      <w:r>
        <w:t xml:space="preserve"> </w:t>
      </w:r>
      <w:r>
        <w:t xml:space="preserve">Caracterizar as alterações reprodutivas associadas à senescência em garanhões, integrando avaliação clínica, parâmetros espermáticos, estresse oxidativo sistêmico e seminal, perfil hormonal, resposta à refrigeração e à criopreservação, e proteômica seminal condicional.</w:t>
      </w:r>
      <w:r>
        <w:t xml:space="preserve"> </w:t>
      </w:r>
      <w:r>
        <w:t xml:space="preserve">2.2 Objetivos Específicos</w:t>
      </w:r>
      <w:r>
        <w:t xml:space="preserve"> </w:t>
      </w:r>
      <w:r>
        <w:t xml:space="preserve">• Realizar exame andrológico completo (CBRA, 2013) — biometria testicular, ultrassonografia modo B (7,5 MHz), ultrassonografia Doppler colorido e pulsado (IR e IP da artéria capsular) e termografia escrotal infravermelha — comparando garanhões jovens (GJ: 5–10 anos) e senis (GS: ≥ 16 anos);</w:t>
      </w:r>
      <w:r>
        <w:t xml:space="preserve"> </w:t>
      </w:r>
      <w:r>
        <w:t xml:space="preserve">• Dosar o perfil hormonal — testosterona total, estradiol/estrógenos totais, FSH, LH e inibina B — no soro sanguíneo por ELISA validado para equinos, comparando os dois grupos etários;</w:t>
      </w:r>
      <w:r>
        <w:t xml:space="preserve"> </w:t>
      </w:r>
      <w:r>
        <w:t xml:space="preserve">• Quantificar marcadores de EO sistêmico no plasma sanguíneo — TBARS/MDA, SOD, CAT, GPx e TAC — no UNIPEX/UNESP, comparando jovens e senis;</w:t>
      </w:r>
      <w:r>
        <w:t xml:space="preserve"> </w:t>
      </w:r>
      <w:r>
        <w:t xml:space="preserve">• Quantificar marcadores de EO seminal — TBARS e TAC — no plasma seminal e correlacioná-los com os marcadores sistêmicos correspondentes, estabelecendo a correlação sangue × sêmen por faixa etária;</w:t>
      </w:r>
      <w:r>
        <w:t xml:space="preserve"> </w:t>
      </w:r>
      <w:r>
        <w:t xml:space="preserve">• Avaliar parâmetros de cinética espermática (CASA), morfologia (DIC, 200 células, CBRA 2013), integridade de membrana plasmática (IMP — CFDA/PI) e citometria de fluxo com sete protocolos funcionais — incluindo potencial mitocondrial, produção de ROS, lipoperoxidação (C11-BODIPY) e fragmentação de DNA (SCSA) — no sêmen fresco, refrigerado (BotuSemen® vs. BotuSpecial® em T0, T24h, T48h) e congelado/descongelado (BotuCrio® em T0 e T30);</w:t>
      </w:r>
      <w:r>
        <w:t xml:space="preserve"> </w:t>
      </w:r>
      <w:r>
        <w:t xml:space="preserve">• Constituir biobanco de espermatozoides lavados congelados a −80°C para estudos futuros de genômica e epigenômica espermática;</w:t>
      </w:r>
      <w:r>
        <w:t xml:space="preserve"> </w:t>
      </w:r>
      <w:r>
        <w:t xml:space="preserve">• [Condicional] Comparar o proteoma do plasma seminal entre GJ e GS por LC-MS/MS label-free, identificando proteínas diferencialmente expressas e vias biológicas associadas ao envelhecimento reprodutivo.</w:t>
      </w:r>
      <w:r>
        <w:t xml:space="preserve"> </w:t>
      </w:r>
      <w:r>
        <w:t xml:space="preserve">2.3 Hipóteses</w:t>
      </w:r>
      <w:r>
        <w:t xml:space="preserve"> </w:t>
      </w:r>
      <w:r>
        <w:t xml:space="preserve">• H1: Garanhões senis apresentam EO sistêmico e seminal significativamente maior que adultos, e esses marcadores correlacionam-se positivamente entre si.</w:t>
      </w:r>
      <w:r>
        <w:t xml:space="preserve"> </w:t>
      </w:r>
      <w:r>
        <w:t xml:space="preserve">• H2: O aumento do EO seminal em garanhões senis correlaciona-se negativamente com motilidade, IMP, potencial mitocondrial e integridade de DNA espermático.</w:t>
      </w:r>
      <w:r>
        <w:t xml:space="preserve"> </w:t>
      </w:r>
      <w:r>
        <w:t xml:space="preserve">• H3: A perfusão testicular por Doppler e a temperatura escrotal por termografia estão alteradas em garanhões senis e correlacionam-se com qualidade seminal e marcadores oxidativos.</w:t>
      </w:r>
      <w:r>
        <w:t xml:space="preserve"> </w:t>
      </w:r>
      <w:r>
        <w:t xml:space="preserve">• H4: O perfil hormonal de garanhões senis apresenta padrão de falência testicular primária (inibina B↓, testosterona↓, estradiol↓, FSH↑, LH↑) correlacionado ao grau de comprometimento seminal e oxidativo.</w:t>
      </w:r>
      <w:r>
        <w:t xml:space="preserve"> </w:t>
      </w:r>
      <w:r>
        <w:t xml:space="preserve">• H5: O declínio da qualidade seminal com a idade é exacerbado pela criopreservação, com interação entre idade e classificação de refrigerabilidade (GC/BC).</w:t>
      </w:r>
      <w:r>
        <w:t xml:space="preserve"> </w:t>
      </w:r>
      <w:r>
        <w:t xml:space="preserve">• H6: [Condicional] O proteoma do plasma seminal de garanhões senis difere significativamente do de jovens, com sub-regulação de proteínas antioxidantes, de capacitação e de metabolismo energético.</w:t>
      </w:r>
      <w:r>
        <w:t xml:space="preserve"> </w:t>
      </w:r>
      <w:r>
        <w:t xml:space="preserve">3. Estudo Atual do Conhecimento</w:t>
      </w:r>
      <w:r>
        <w:t xml:space="preserve"> </w:t>
      </w:r>
      <w:r>
        <w:t xml:space="preserve">3.1 O garanhão e a senescência reprodutiva</w:t>
      </w:r>
      <w:r>
        <w:t xml:space="preserve"> </w:t>
      </w:r>
      <w:r>
        <w:t xml:space="preserve">A fertilidade do garanhão é fator crítico para seu valor econômico e para sua influência sobre a população reprodutiva (KHAN et al., 2025). A longevidade da carreira reprodutiva constitui o objetivo primário do manejo do garanhão (WAQAS; ARROYO; TIBARY, 2024), mas o declínio da fertilidade associado ao envelhecimento testicular é fenômeno comum em reprodutores de meia-idade e idosos, com perdas econômicas expressivas decorrentes de redução de honorários de cobertura, número de potros e disseminação genética (TURNER, 2019).</w:t>
      </w:r>
      <w:r>
        <w:t xml:space="preserve"> </w:t>
      </w:r>
      <w:r>
        <w:t xml:space="preserve">3.2 Degeneração testicular idiopática (ITD)</w:t>
      </w:r>
      <w:r>
        <w:t xml:space="preserve"> </w:t>
      </w:r>
      <w:r>
        <w:t xml:space="preserve">A ITD é causa comum de subfertilidade e infertilidade em garanhões, podendo ser dividida em casos de agressão testicular conhecida e degeneração idiopática relacionada à idade (TURNER, 2007). A natureza tecido-autóloga da condição foi confirmada por experimentos de xenoenxerto: tecido testicular degenerado de garanhões idosos transplantado para camundongos imunodeficientes com ambiente hormonal jovem continuou degenerando, sem reconstituir espermatogênese, ao contrário de tecido criptorquídeo e pré-puberal (TURNER et al., 2010). Não existe tratamento comprovado para a ITD, e estimulação hormonal é ineficaz por se tratar de doença do próprio parênquima (TURNER; ZENG, 2012).</w:t>
      </w:r>
      <w:r>
        <w:t xml:space="preserve"> </w:t>
      </w:r>
      <w:r>
        <w:t xml:space="preserve">Clinicamente, a ITD progride em quatro estágios: (1) redução discreta do output espermático sem alteração visível de tamanho testicular; (2) redução de volume com piora de motilidade e morfologia; (3) surgimento de células germinativas imaturas e alterações hormonais — queda de estrógenos, testosterona e inibina B com elevação de FSH e LH; (4) fragmentação de DNA espermático com volume testicular inferior a 60% do tamanho na maturidade (TURNER, 2019). Turner (2019) recomenda monitoramento intensificado de todos os reprodutores a partir dos 15 anos.</w:t>
      </w:r>
      <w:r>
        <w:t xml:space="preserve"> </w:t>
      </w:r>
      <w:r>
        <w:t xml:space="preserve">3.3 Inflammaging testicular</w:t>
      </w:r>
      <w:r>
        <w:t xml:space="preserve"> </w:t>
      </w:r>
      <w:r>
        <w:t xml:space="preserve">Woodward et al. (2023) realizaram o primeiro estudo transcriptômico (RNA-seq, Illumina HiSeq 2000) de testículos equinos com degeneração relacionada à idade, comparando garanhões normais férteis (n = 3) a subférteis idosos (n = 4, idades de 28–30 anos). A análise bioinformática identificou regulação positiva de vias inflamatórias mediadas por citocinas — particularmente CSF1 — nos testículos degenerados, bem como desregulação de SHISA6 (via Wnt/β-catenina), gene relacionado à auto-renovação de espermatogônias-tronco. Os dados sugerem modelo de inflammaging testicular — inflamação crônica de baixo grau como mecanismo central da degeneração. A questão que permanece é se esse inflammaging intratesticular se reflete em marcadores oxidativos acessíveis sistemicamente e no plasma seminal — conexão que o presente projeto propõe investigar.</w:t>
      </w:r>
      <w:r>
        <w:t xml:space="preserve"> </w:t>
      </w:r>
      <w:r>
        <w:t xml:space="preserve">3.4 Parâmetros espermáticos e senescência em garanhões por faixa etária</w:t>
      </w:r>
      <w:r>
        <w:t xml:space="preserve"> </w:t>
      </w:r>
      <w:r>
        <w:t xml:space="preserve">Al-Kheraije et al. (2021) avaliaram 108 ejaculados de nove garanhões Árabes (4–22 anos) divididos em Grupo I (4–6 anos, n = 3), Grupo II (8–11 anos, n = 3) e Grupo III (15–22 anos, n = 3), com coletas mensais durante um ano. Os Grupos I e II foram superiores ao Grupo III em contagem espermática, viabilidade, motilidade total e progressiva e proporção de espermatozoides morfologicamente normais (P &lt; 0,05), com o Grupo III apresentando maior proporção de defeitos espermáticos secundários. A sazonalidade foi significativa, reforçando a necessidade de controle sazonal das coletas.</w:t>
      </w:r>
      <w:r>
        <w:t xml:space="preserve"> </w:t>
      </w:r>
      <w:r>
        <w:t xml:space="preserve">Darr et al. (2017) mensuraram função mitocondrial, motilidade por CASA e produção de ROS em 88 ejaculados congelados e descongelados de 19 garanhões com 4 a 19 anos, documentando pico funcional em torno dos 12 anos e declínio evidente após os 13 anos, com aumento concomitante de ROS. Darr et al. (2017) demonstraram, em 37 garanhões Quarto de Milha (3–24 anos), que maior número de cópias do gene citocromo b (CYTB) do DNA mitocondrial estava associado a menor probabilidade de movimento espermático, com redução de 4% por unidade de CYTB (P = 0,001).</w:t>
      </w:r>
      <w:r>
        <w:t xml:space="preserve"> </w:t>
      </w:r>
      <w:r>
        <w:t xml:space="preserve">Harris et al. (2023), por meio de revisão sistemática e meta-regressão com 229 artigos (1991–2021), demonstraram que a motilidade progressiva espermática equina declinou 21,34% entre 1984 e 2019, com controle por raça, localização geográfica, hemisfério e equipamento CASA, indicando risco de declínio comparável ao descrito em humanos. Esse declínio temporal pode refletir, em parte, mudanças metodológicas (equipamentos CASA, calibrações) e diferenças populacionais ao longo das décadas, além de um possível declínio biológico real.</w:t>
      </w:r>
      <w:r>
        <w:t xml:space="preserve"> </w:t>
      </w:r>
      <w:r>
        <w:t xml:space="preserve">3.5 Estresse oxidativo como mecanismo central</w:t>
      </w:r>
      <w:r>
        <w:t xml:space="preserve"> </w:t>
      </w:r>
      <w:r>
        <w:t xml:space="preserve">O estresse oxidativo — desequilíbrio entre produção de ROS e capacidade antioxidante — é mecanismo central do envelhecimento reprodutivo em múltiplas espécies. As membranas espermáticas apresentam elevado conteúdo de PUFAs, tornando os espermatozoides equinos especialmente vulneráveis ao dano peroxidativo gerado como subproduto do metabolismo celular (GIBB et al., 2021). A peroxidação dos PUFAs produz malondialdeído (MDA), quantificável pelo ensaio TBARS.</w:t>
      </w:r>
      <w:r>
        <w:t xml:space="preserve"> </w:t>
      </w:r>
      <w:r>
        <w:t xml:space="preserve">Os espermatozoides equinos dependem predominantemente de OXPHOS para produção de ATP, diferentemente de bovinos e humanos, o que os torna especialmente vulneráveis à disfunção mitocondrial com o envelhecimento (DARR et al., 2016). Com o envelhecimento, três processos convergem: (1) disfunção mitocondrial progressiva — acúmulo de dano na cadeia transportadora de elétrons, com aumento do vazamento de elétrons e geração de superóxido; (2) depleção do sistema antioxidante endógeno — queda progressiva das atividades de SOD, CAT e glutationa; (3) aumento da lipoperoxidação de membrana — Peña et al. (2019) documentaram, em garanhões de diferentes faixas etárias (até 5 anos, 5–10, 10–15 e &gt; 15 anos), que a lipoperoxidação de membrana espermática, avaliada por citometria de fluxo com C11-BODIPY 581/591, aumenta progressivamente com a idade.</w:t>
      </w:r>
      <w:r>
        <w:t xml:space="preserve"> </w:t>
      </w:r>
      <w:r>
        <w:t xml:space="preserve">No plano sistêmico, Asahi, Arai e Tanaka (2024) avaliaram cavalos divididos em jovem (&lt; 10 anos), meia-idade (10–16 anos) e idoso (&gt; 17 anos), todos com ECC normal, e documentaram MDA plasmático significativamente maior e SOD plasmática significativamente menor no grupo idoso — primeiros valores de referência publicados para TBARS e SOD em equinos por faixa etária.</w:t>
      </w:r>
      <w:r>
        <w:t xml:space="preserve"> </w:t>
      </w:r>
      <w:r>
        <w:t xml:space="preserve">3.6 Correlação sangue × sêmen: base para a hipótese central</w:t>
      </w:r>
      <w:r>
        <w:t xml:space="preserve"> </w:t>
      </w:r>
      <w:r>
        <w:t xml:space="preserve">No sêmen, El-Sisy et al. (2016) avaliaram garanhões Árabes jovens (5–6 anos), de meia-idade (11–12 anos) e velhos (15–20 anos) e documentaram correlação negativa entre MDA seminal e normalidade espermática (r = −0,69; P &lt; 0,05) e correlação positiva entre catalase sanguínea e motilidade espermática (r = 0,83; P &lt; 0,001), sugerindo que o status antioxidante sistêmico reflete e prediz a qualidade espermática. Morte et al. (2008) demonstraram que o TBARS no plasma seminal constitui indicador geral de dano espermático em garanhões.</w:t>
      </w:r>
      <w:r>
        <w:t xml:space="preserve"> </w:t>
      </w:r>
      <w:r>
        <w:t xml:space="preserve">Em humanos, Benedetti et al. (2012) demonstraram que TAC sanguíneo e vitamina E sérica correlacionam-se positivamente com TAC seminal e parâmetros de qualidade espermática, validando o conceito de que o sangue espelha o sêmen antioxidativamente. Em camundongos jovens (3 meses) e idosos (18 meses) nocautes para SOD1, Selvaratnam e Robaire (2016) demonstraram que essa enzima é crítica para a manutenção da qualidade das células germinativas com o envelhecimento.</w:t>
      </w:r>
      <w:r>
        <w:t xml:space="preserve"> </w:t>
      </w:r>
      <w:r>
        <w:t xml:space="preserve">A lacuna que este projeto preenche: embora El-Sisy et al. (2016) tenham correlacionado catalase sanguínea com motilidade espermática e MDA seminal com normalidade espermática em garanhões Árabes, esses autores não utilizaram TBARS seminal pelo método clássico de Ohkawa, não dosaram TAC, não incluíram painel hormonal completo (inibina B, FSH, LH), não realizaram citometria de fluxo e não avaliaram sêmen refrigerado ou congelado. O presente projeto preenche todas essas lacunas, constituindo as reais novidades metodológicas da proposta.</w:t>
      </w:r>
      <w:r>
        <w:t xml:space="preserve"> </w:t>
      </w:r>
      <w:r>
        <w:t xml:space="preserve">3.7 Perfil hormonal na senescência testicular</w:t>
      </w:r>
      <w:r>
        <w:t xml:space="preserve"> </w:t>
      </w:r>
      <w:r>
        <w:t xml:space="preserve">Stewart e Roser (1998), em estudo com garanhões férteis, subférteis e inférteis, demonstraram que as concentrações plasmáticas de inibina imunorreativa, estradiol e estrógenos conjugados foram significativamente menores (P &lt; 0,01) e as de FSH e LH significativamente maiores (P &lt; 0,05) nos garanhões inférteis. Nagata et al. (1998) demonstraram que a inibina circulante no garanhão é predominantemente de origem testicular. A inibina B é o marcador endócrino mais direto e específico de integridade do epitélio seminífero e função Sertoliana — mais sensível que a testosterona, que pode demorar a se manifestar. O padrão FSH↑ + inibina B↓ constitui a assinatura endócrina mais específica da degeneração tubular na ITD.</w:t>
      </w:r>
      <w:r>
        <w:t xml:space="preserve"> </w:t>
      </w:r>
      <w:r>
        <w:t xml:space="preserve">3.8 Avaliação por imagem — Doppler e termografia</w:t>
      </w:r>
      <w:r>
        <w:t xml:space="preserve"> </w:t>
      </w:r>
      <w:r>
        <w:t xml:space="preserve">Ortega-Ferrusola et al. (2014) demonstraram, em estudo com 20 garanhões férteis e subférteis, que a artéria capsular é o local mais confiável para avaliação Doppler espectral, com os parâmetros de fluxo desta artéria apresentando as correlações mais estreitas com parâmetros de qualidade espermática. Garanhões subférteis tendem a apresentar valores elevados de índice de pulsatilidade (IP) e índice de resistência (IR), indicando alta resistência vascular. A termografia escrotal é técnica não invasiva para avaliação da termorregulação testicular, relevante porque a fibrose pode comprometer a microvasculatura e a dissipação de calor.</w:t>
      </w:r>
      <w:r>
        <w:t xml:space="preserve"> </w:t>
      </w:r>
      <w:r>
        <w:t xml:space="preserve">3.9 Proteômica do plasma seminal equino e envelhecimento</w:t>
      </w:r>
      <w:r>
        <w:t xml:space="preserve"> </w:t>
      </w:r>
      <w:r>
        <w:t xml:space="preserve">Peña et al. (2024) revisaram o estado da arte da proteômica espermática em garanhões, destacando que a espécie é modelo translacional de interesse para medicina reprodutiva humana. Talluri et al. (2022) realizaram proteômica profunda do plasma seminal de garanhões com qualidade seminal contrastante, identificando proteínas em metabolismo energético, controle redox e motilidade como potenciais biomarcadores de fertilidade. Em humanos, Guo et al. (2023) identificaram por LC-MS/MS alterações no proteoma espermático e metaboloma seminal associadas ao envelhecimento masculino. Nenhum estudo publicado realizou proteômica do plasma seminal em garanhões estratificados por faixa etária.</w:t>
      </w:r>
      <w:r>
        <w:t xml:space="preserve"> </w:t>
      </w:r>
      <w:r>
        <w:t xml:space="preserve">3.10 Conservação do sêmen equino e estresse oxidativo</w:t>
      </w:r>
      <w:r>
        <w:t xml:space="preserve"> </w:t>
      </w:r>
      <w:r>
        <w:t xml:space="preserve">A criopreservação do sêmen equino reduz em aproximadamente 50% a população espermática inicial; os sobreviventes experimentam envelhecimento precoce e desregulação redox mitocondrial (ORTEGA-FERRUSOLA et al., 2008). A refrigeração a 5°C mantém viabilidade por 24–48 horas, mas promove alterações na fluidez de membrana e aumento de ROS. Em garanhões senis, cuja capacidade antioxidante basal é potencialmente reduzida, espera-se que o dano criopreservação-dependente seja amplificado — hipótese que será testada pelo presente projeto.</w:t>
      </w:r>
      <w:r>
        <w:t xml:space="preserve"> </w:t>
      </w:r>
      <w:r>
        <w:t xml:space="preserve">4. Resultados Esperados / Relevância da Contribuição Científica</w:t>
      </w:r>
      <w:r>
        <w:t xml:space="preserve"> </w:t>
      </w:r>
      <w:r>
        <w:t xml:space="preserve">Espera-se que garanhões senis (≥ 16 anos) apresentem, em comparação aos jovens (5–10 anos): (a) perfil hormonal alterado — FSH e LH elevados, com queda de testosterona, estradiol e inibina B —, confirmando comprometimento dos compartimentos tubular e intersticial; (b) maior EO sistêmico, evidenciado por maior TBARS/MDA e menor SOD e TAC no plasma sanguíneo; (c) maior dano oxidativo seminal — maior TBARS e menor TAC no plasma seminal, maior ROS, maior lipoperoxidação (C11-BODIPY) e maior %DFI no SCSA; (d) correlações negativas entre marcadores redox sistêmicos e qualidade espermática, e correlações positivas entre TBARS sanguíneo e TBARS seminal — validando o modelo de correlação sangue × sêmen em equinos por faixa etária; e (e) — se o módulo proteômica for ativado — proteoma seminal distinto, com redução de proteínas antioxidantes (peroxirredoxinas, SOD1, AKR1B1), de função mitocondrial e de motilidade flagelar.</w:t>
      </w:r>
      <w:r>
        <w:t xml:space="preserve"> </w:t>
      </w:r>
      <w:r>
        <w:t xml:space="preserve">A ultrassonografia Doppler deverá identificar menor vascularização intratesticular em garanhões senis, com IR e IP correlacionados à piora da qualidade seminal. A termografia revelará diferenças na distribuição da temperatura escrotal entre grupos. A análise fatorial 2×2 (idade × refrigerabilidade GC/BC) permitirá identificar se garanhões senis respondem pior à refrigeração e criopreservação que jovens.</w:t>
      </w:r>
      <w:r>
        <w:t xml:space="preserve"> </w:t>
      </w:r>
      <w:r>
        <w:t xml:space="preserve">Os resultados serão organizados em pelo menos dois artigos: (1) parâmetros espermáticos + EO sistêmico e seminal + perfil hormonal, destinado a Theriogenology ou Journal of Equine Veterinary Science; (2) proteômica do plasma seminal, destinado a Journal of Proteomics ou PROTEOMICS (Wiley). O biobanco de DNA espermático a −80°C possibilitará estudos futuros de epigenômica — primeiro atlas de metilação espermática em garanhões por faixa etária.</w:t>
      </w:r>
      <w:r>
        <w:t xml:space="preserve"> </w:t>
      </w:r>
      <w:r>
        <w:t xml:space="preserve">5. Material e Métodos</w:t>
      </w:r>
      <w:r>
        <w:t xml:space="preserve"> </w:t>
      </w:r>
      <w:r>
        <w:t xml:space="preserve">5.1 Local de experimentação</w:t>
      </w:r>
      <w:r>
        <w:t xml:space="preserve"> </w:t>
      </w:r>
      <w:r>
        <w:t xml:space="preserve">O projeto será conduzido após aprovação do Comitê de Ética no Uso de Animais (CEUA) da FMVZ/UNESP, em conformidade com as normas do Conselho Nacional de Controle de Experimentação Animal (CONCEA). As coletas de sêmen, exames andrológicos e coletas de sangue serão realizadas em haras parceiros no estado de São Paulo. As análises de parâmetros espermáticos e citometria de fluxo serão conduzidas no CERAN — Centro de Diagnóstico e Biotecnologia em Reprodução Animal, vinculado ao DRARV/FMVZ/UNESP Botucatu. As análises de EO sistêmico e seminal (TBARS, SOD, CAT, GPx, TAC) serão realizadas no UNIPEX — Unidade de Pesquisa Experimental da UNESP Botucatu. As dosagens hormonais serão realizadas em laboratório terceirizado especializado (Bet Laboratories® ou equivalente), mediante envio de soro congelado. A análise proteômica, se ativada, será conduzida em parceria com laboratório de espectrometria de massas com plataforma LC-MS/MS (a confirmar conforme disponibilidade financeira após aprovação FAPESP).</w:t>
      </w:r>
      <w:r>
        <w:t xml:space="preserve"> </w:t>
      </w:r>
      <w:r>
        <w:t xml:space="preserve">5.2 Seleção dos animais e grupos experimentais</w:t>
      </w:r>
      <w:r>
        <w:t xml:space="preserve"> </w:t>
      </w:r>
      <w:r>
        <w:t xml:space="preserve">Serão utilizados 24 garanhões, distribuídos em dois grupos experimentais de 12 animais cada:</w:t>
      </w:r>
      <w:r>
        <w:t xml:space="preserve"> </w:t>
      </w:r>
      <w:r>
        <w:t xml:space="preserve">• Grupo Jovem (GJ): garanhões com 5 a 10 anos de idade, em plena atividade reprodutiva, fertilidade comprovada (taxa de prenhez ≥ 60% por ciclo ou equivalente), parâmetros seminais e inibina B dentro dos limites normais;</w:t>
      </w:r>
      <w:r>
        <w:t xml:space="preserve"> </w:t>
      </w:r>
      <w:r>
        <w:t xml:space="preserve">• Grupo Senil (GS): garanhões com ≥ 16 anos, com pelo menos um indicador de comprometimento Sertoliano: inibina B abaixo do limite inferior de referência para a raça (ou &lt; 50 pg/mL como valor orientativo quando referência racial não disponível) OU ecotextura testicular alterada caracterizada por hiperecogenicidade difusa, calcificações focais ou perda do padrão homogêneo ao ultrassom modo B, após exclusão de causas infecciosas (sorologias, cultura seminal), traumáticas (Doppler), iatrogênicas (histórico farmacológico) e metabólicas (ECC, insulina basal).</w:t>
      </w:r>
    </w:p>
    <w:p>
      <w:pPr>
        <w:pStyle w:val="BodyText"/>
      </w:pPr>
      <w:r>
        <w:t xml:space="preserve">A divisão etária é fundamentada por: Al-Kheraije et al. (2021) — superioridade seminal em garanhões de 4–11 anos vs. 15–22 anos; Darr et al. (2017) — pico funcional mitocondrial em torno dos 12 anos e declínio evidente após os 13 anos; Turner (2019) — recomendação de monitoramento intensificado a partir dos 15 anos.</w:t>
      </w:r>
      <w:r>
        <w:t xml:space="preserve"> </w:t>
      </w:r>
      <w:r>
        <w:t xml:space="preserve">Serão incluídos animais de raças de desempenho (Quarto de Milha, Warmblood, Crioulo, Árabe) com ECC 4–6 (escala de Henneke et al., 1983). Serão excluídos animais com: (a) doenças sistêmicas ativas; (b) PPID/Cushing; (c) síndrome metabólica ou obesidade (ECC &gt; 7); (d) alterações ultrassonográficas sugestivas de processo infeccioso, torção ou neoplasia; (e) tratamento hormonal nos últimos seis meses; ou (f) uso atual de anti-inflamatórios. A raça será incluída como covariável se desequilibrada entre grupos. Todas as coletas serão realizadas na estação reprodutiva (outubro a março, hemisfério sul). Todas as avaliações laboratoriais (CASA, morfologia, citometria de fluxo, SCSA, ensaios bioquímicos) serão realizadas de forma cega — o avaliador não terá conhecimento do grupo experimental (GJ ou GS) a que pertence a amostra.</w:t>
      </w:r>
      <w:r>
        <w:t xml:space="preserve"> </w:t>
      </w:r>
      <w:r>
        <w:t xml:space="preserve">5.3 Delineamento experimental</w:t>
      </w:r>
      <w:r>
        <w:t xml:space="preserve"> </w:t>
      </w:r>
      <w:r>
        <w:t xml:space="preserve">Protocolo de depleção de reservas extragonadais: antes das coletas experimentais, cada garanhão será submetido a pelo menos duas coletas com intervalo de 1 hora, seguidas de repouso mínimo de 48 horas antes da primeira coleta experimental. Todas as coletas sanguíneas serão realizadas entre 06:00 e 09:00 h para minimizar variação circadiana de testosterona e LH.</w:t>
      </w:r>
      <w:r>
        <w:t xml:space="preserve"> </w:t>
      </w:r>
      <w:r>
        <w:t xml:space="preserve">Cada animal será submetido a duas coletas com intervalo mínimo de 15 dias. Em cada coleta serão obtidas simultaneamente amostras de sangue (antes da coleta seminal, pela manhã, sempre no mesmo horário) e ejaculados por vagina artificial modelo Botucatu. Coleta sanguínea por venopunção jugular em: (a) tubo sem anticoagulante — centrifugação a 2.000 × g por 10 min, soro para hormônios e TBARS; (b) tubo com heparina de lítio — centrifugação a 2.000 × g por 10 min, plasma para TAC, SOD, CAT, GPx. Importante: tubos com EDTA e NaF/Na₂EDTA devem ser evitados para TAC. Alíquotas armazenadas em crioviais a −80°C até análise em lote. As duas coletas por animal serão tratadas como medidas repetidas na análise estatística, com o garanhão como bloco (efeito aleatório) nos modelos lineares mistos.</w:t>
      </w:r>
      <w:r>
        <w:t xml:space="preserve"> </w:t>
      </w:r>
      <w:r>
        <w:t xml:space="preserve">5.4 Exame andrológico</w:t>
      </w:r>
      <w:r>
        <w:t xml:space="preserve"> </w:t>
      </w:r>
      <w:r>
        <w:t xml:space="preserve">Todos os animais serão submetidos a exame andrológico completo conforme CBRA (2013), incluindo:</w:t>
      </w:r>
      <w:r>
        <w:t xml:space="preserve"> </w:t>
      </w:r>
      <w:r>
        <w:t xml:space="preserve">• Anamnese e avaliação do histórico reprodutivo;</w:t>
      </w:r>
      <w:r>
        <w:t xml:space="preserve"> </w:t>
      </w:r>
      <w:r>
        <w:t xml:space="preserve">• Exame clínico geral — ECC (Henneke et al., 1983), avaliação locomotora;</w:t>
      </w:r>
      <w:r>
        <w:t xml:space="preserve"> </w:t>
      </w:r>
      <w:r>
        <w:t xml:space="preserve">• Avaliação do comportamento sexual e libido;</w:t>
      </w:r>
      <w:r>
        <w:t xml:space="preserve"> </w:t>
      </w:r>
      <w:r>
        <w:t xml:space="preserve">• Exame clínico especializado — bolsa escrotal, testículos, epidídimos, cordão espermático, prepúcio e pênis;</w:t>
      </w:r>
      <w:r>
        <w:t xml:space="preserve"> </w:t>
      </w:r>
      <w:r>
        <w:t xml:space="preserve">• Biometria testicular: comprimento, largura e altura de cada testículo com paquímetro; circunferência escrotal com fita; cálculo de volume testicular [V (cm³) = 0,5233 × comprimento × largura × altura];</w:t>
      </w:r>
      <w:r>
        <w:t xml:space="preserve"> </w:t>
      </w:r>
      <w:r>
        <w:t xml:space="preserve">• Ultrassonografia modo B: transdutor linear de 7,5 MHz; avaliação de ecogenicidade, ecotextura, calcificações e volume testicular;</w:t>
      </w:r>
      <w:r>
        <w:t xml:space="preserve"> </w:t>
      </w:r>
      <w:r>
        <w:t xml:space="preserve">• Ultrassonografia Doppler colorido e pulsado: avaliação de vascularização intratesticular; registro de IR e IP da artéria capsular (local mais confiável para correlação com qualidade espermática — ORTEGA-FERRUSOLA et al., 2014);</w:t>
      </w:r>
      <w:r>
        <w:t xml:space="preserve"> </w:t>
      </w:r>
      <w:r>
        <w:t xml:space="preserve">• Termografia escrotal: câmera de infravermelho calibrada após período de estabilização térmica de 20 minutos; registro de temperatura média, máxima e mínima da superfície escrotal e gradiente térmico escrotal-corporal.</w:t>
      </w:r>
      <w:r>
        <w:t xml:space="preserve"> </w:t>
      </w:r>
      <w:r>
        <w:t xml:space="preserve">5.5 Dosagem hormonal</w:t>
      </w:r>
      <w:r>
        <w:t xml:space="preserve"> </w:t>
      </w:r>
      <w:r>
        <w:t xml:space="preserve">Soro sanguíneo obtido por centrifugação (2.000 × g, 10 min), aliquotado em crioviais e armazenado a −80°C até envio em lote ao laboratório. Serão dosados por ELISA validado para equinos:</w:t>
      </w:r>
      <w:r>
        <w:t xml:space="preserve"> </w:t>
      </w:r>
      <w:r>
        <w:t xml:space="preserve">• Testosterona total: principal androgênio do garanhão, produzido pelas células de Leydig sob estímulo do LH; queda progressiva na ITD avançada;</w:t>
      </w:r>
      <w:r>
        <w:t xml:space="preserve"> </w:t>
      </w:r>
      <w:r>
        <w:t xml:space="preserve">• Estradiol / estrógenos totais: produzidos principalmente por aromatização periférica; queda associada à redução do feedback negativo sobre o eixo HHG;</w:t>
      </w:r>
      <w:r>
        <w:t xml:space="preserve"> </w:t>
      </w:r>
      <w:r>
        <w:t xml:space="preserve">• FSH: eleva-se como resposta compensatória à queda de inibina B; marcador mais sensível de ITD;</w:t>
      </w:r>
      <w:r>
        <w:t xml:space="preserve"> </w:t>
      </w:r>
      <w:r>
        <w:t xml:space="preserve">• LH: secretado de forma pulsátil; coleta padronizada sempre no mesmo horário; interpretado como variável auxiliar no painel. Limitação reconhecida: LH é secretado de forma pulsátil, e uma coleta pontual pode não representar o nível médio real. Para mitigar essa limitação, as coletas sanguíneas serão padronizadas pelo mesmo horário (06:00–09:00 h), e LH será interpretado como variável auxiliar no painel, não como marcador isolado;</w:t>
      </w:r>
      <w:r>
        <w:t xml:space="preserve"> </w:t>
      </w:r>
      <w:r>
        <w:t xml:space="preserve">• Inibina B: secretada exclusivamente pelas células de Sertoli; marcador mais direto da integridade do epitélio seminífero; queda associada à elevação de FSH é a assinatura endócrina mais específica da degeneração tubular na ITD (TURNER, 2019; STEWART; ROSER, 1998; NAGATA et al., 1998).</w:t>
      </w:r>
      <w:r>
        <w:t xml:space="preserve"> </w:t>
      </w:r>
      <w:r>
        <w:t xml:space="preserve">5.6 Processamento e análise seminal — visão geral do delineamento</w:t>
      </w:r>
      <w:r>
        <w:t xml:space="preserve"> </w:t>
      </w:r>
      <w:r>
        <w:t xml:space="preserve">O ejaculado será filtrado para remoção da fração gel e imediatamente submetido a avaliação macroscópica (volume, cor, turbilhonamento, pH) e concentração espermática em câmara de Neubauer (diluição 1:20). O ejaculado será então dividido em alíquotas para três condições de avaliação:</w:t>
      </w:r>
      <w:r>
        <w:t xml:space="preserve"> </w:t>
      </w:r>
      <w:r>
        <w:t xml:space="preserve">• Sêmen fresco (T0): análise imediata após diluição em BotuSemen® a 50 × 10⁶ sptz/mL. Parâmetros: CASA + IMP (CFDA/PI) + citometria (7 protocolos) + SCSA + morfologia;</w:t>
      </w:r>
      <w:r>
        <w:t xml:space="preserve"> </w:t>
      </w:r>
      <w:r>
        <w:t xml:space="preserve">• Sêmen refrigerado — comparação BotuSemen® vs. BotuSpecial®: ejaculado dividido em duas frações; diluição a 50 × 10⁶ sptz/mL em cada extensor; refrigeração a 5°C; avaliação em T0, T24h e T48h (CASA + IMP). Classificação GC/BC: a classificação GC/BC será baseada na queda de motilidade progressiva entre T0 e T48h no BotuSemen® (diluente de referência): queda ≤ 20% = GC (Good Cooler); &gt; 20% = BC (Bad Cooler), adaptado dos critérios utilizados pelo CERAN/UNESP em estudos prévios de refrigeração (comunicação pessoal, Prof. Frederico Papa). Delineamento fatorial 2×2 — GA-GC, GA-BC, GS-GC, GS-BC;</w:t>
      </w:r>
      <w:r>
        <w:t xml:space="preserve"> </w:t>
      </w:r>
      <w:r>
        <w:t xml:space="preserve">• Sêmen congelado (BotuCrio®): centrifugação a 600 × g por 10 min; ressuspensão a 200 × 10⁶ sptz/mL; envasamento em palhetas de 0,5 mL; congelação em vapor de nitrogênio líquido; armazenamento em N₂ líquido; descongelamento a 37°C por 30 segundos. Avaliação em T0 (imediatamente pós-descongelamento) e T30 (30 minutos pós-descongelamento — teste de termoresistência). Parâmetros: CASA + IMP + citometria (7 protocolos) + SCSA.</w:t>
      </w:r>
      <w:r>
        <w:t xml:space="preserve"> </w:t>
      </w:r>
      <w:r>
        <w:t xml:space="preserve">5.7 Análise computadorizada de sêmen (CASA)</w:t>
      </w:r>
      <w:r>
        <w:t xml:space="preserve"> </w:t>
      </w:r>
      <w:r>
        <w:t xml:space="preserve">Equipamento: IVOS II (Hamilton Thorne) ou SCA (Microptic). Parâmetros registrados: motilidade total (MT), motilidade progressiva (MP), velocidade de trajeto (VAP), velocidade curvilinear (VCL), velocidade em linha reta (VSL), linearidade (LIN), retilinearidade (STR), oscilação (WOB), espermatozoides rápidos (RAP). A integridade de membrana plasmática (IMP) por CFDA/PI formará binômio indissociável com a motilidade como critério mínimo de qualidade espermática em todas as condições.</w:t>
      </w:r>
      <w:r>
        <w:t xml:space="preserve"> </w:t>
      </w:r>
      <w:r>
        <w:t xml:space="preserve">5.8 Morfologia espermática</w:t>
      </w:r>
      <w:r>
        <w:t xml:space="preserve"> </w:t>
      </w:r>
      <w:r>
        <w:t xml:space="preserve">Avaliação sob microscopia de contraste de interferência diferencial (DIC), classificação de defeitos em maiores e menores segundo CBRA (2013), mínimo de 200 células por lâmina.</w:t>
      </w:r>
      <w:r>
        <w:t xml:space="preserve"> </w:t>
      </w:r>
      <w:r>
        <w:t xml:space="preserve">5.9 Citometria de fluxo — 7 protocolos</w:t>
      </w:r>
      <w:r>
        <w:t xml:space="preserve"> </w:t>
      </w:r>
      <w:r>
        <w:t xml:space="preserve">Análises realizadas em citômetro BD LSR Fortessa (CERAN/UNESP), lasers de 488 nm e 640 nm. Amostras diluídas em TALP-PVA para concentração de 5 × 10⁶ sptz/mL. Mínimo de 10.000 eventos por amostra. Sete protocolos:</w:t>
      </w:r>
      <w:r>
        <w:t xml:space="preserve"> </w:t>
      </w:r>
      <w:r>
        <w:t xml:space="preserve">• P1 — Integridade de membrana e acrossômica + potencial mitocondrial: IP (1,5 µM) + FITC-PSA (100 µg/mL, concentração final) + MitoStatus Red (20 µM); 20 min a 37°C;</w:t>
      </w:r>
      <w:r>
        <w:t xml:space="preserve"> </w:t>
      </w:r>
      <w:r>
        <w:t xml:space="preserve">• P2 — Fluidez de membrana plasmática: Merocianina 540 (M540, 7,5 nM) + Yo-Pro 1 (YP, 25 nM); 20 min a 37°C;</w:t>
      </w:r>
      <w:r>
        <w:t xml:space="preserve"> </w:t>
      </w:r>
      <w:r>
        <w:t xml:space="preserve">• P3 — Desestabilização de membrana + potencial mitocondrial + superóxido mitocondrial: YOPRO (25 nM) + MitoStatus Red (20 µM) + MitoSOX Red (2 µM); 20 min a 37°C. A sobreposição espectral entre MitoStatus Red (Ex 488/Em 690 nm) e MitoSOX Red (Ex 510/Em 580 nm) será corrigida por compensação eletrônica com controles single-stain;</w:t>
      </w:r>
      <w:r>
        <w:t xml:space="preserve"> </w:t>
      </w:r>
      <w:r>
        <w:t xml:space="preserve">• P4 — Peróxido de hidrogênio intracelular: IP (1,5 µM) + CM-H2DCFDA (1 µM); 20 min a 37°C;</w:t>
      </w:r>
      <w:r>
        <w:t xml:space="preserve"> </w:t>
      </w:r>
      <w:r>
        <w:t xml:space="preserve">• P5 — Lipoperoxidação de membrana: C11-BODIPY⁵⁸¹/⁵⁹¹ (5 µM); 30 min a 37°C; 2 lavagens a 300 × g/5 min;</w:t>
      </w:r>
      <w:r>
        <w:t xml:space="preserve"> </w:t>
      </w:r>
      <w:r>
        <w:t xml:space="preserve">• P6 — Superóxido mitocondrial (stand-alone): MitoSOX Red (2 µM) + IP (1,5 µM); 20 min a 37°C; avaliação de produção de superóxido especificamente mitocondrial;</w:t>
      </w:r>
      <w:r>
        <w:t xml:space="preserve"> </w:t>
      </w:r>
      <w:r>
        <w:t xml:space="preserve">Controle positivo de ROS: alíquota tratada com menadiona (100 µM, 30 min, 37°C) será incluída em cada sessão de citometria como controle positivo para os protocolos P3, P4 e P6.</w:t>
      </w:r>
      <w:r>
        <w:t xml:space="preserve"> </w:t>
      </w:r>
      <w:r>
        <w:t xml:space="preserve">• P7 — Fragmentação de DNA (SCSA): Protocolo original de Evenson et al. (1980); amostra diluída em tampão TNE, tratada com solução ácido-detergente por 30 s, corada com acridina orange; leitura em até 5 minutos; resultado expresso como %DFI (DNA Fragmentation Index). Em garanhões, %DFI &gt; 15% como indicativo de comprometimento de fertilidade (LOVE; KENNEY, 1998; MORRELL et al., 2008).</w:t>
      </w:r>
      <w:r>
        <w:t xml:space="preserve"> </w:t>
      </w:r>
      <w:r>
        <w:t xml:space="preserve">5.10 Estresse oxidativo sistêmico — UNIPEX/UNESP</w:t>
      </w:r>
      <w:r>
        <w:t xml:space="preserve"> </w:t>
      </w:r>
      <w:r>
        <w:t xml:space="preserve">No plasma sanguíneo serão dosados em espectrofotômetro UV-Vis ou leitor de microplaca:</w:t>
      </w:r>
      <w:r>
        <w:t xml:space="preserve"> </w:t>
      </w:r>
      <w:r>
        <w:t xml:space="preserve">• TBARS/MDA: método colorimétrico (Ohkawa, Ohishi e Yagi, 1979), leitura a 532 nm; matriz: soro (tubo sem anticoagulante, 2.000 × g/10 min); armazenamento: −80°C com BHT 1×, máx. 1–2 meses;</w:t>
      </w:r>
      <w:r>
        <w:t xml:space="preserve"> </w:t>
      </w:r>
      <w:r>
        <w:t xml:space="preserve">• SOD: inibição da autooxidação do pirogalol ou WST-1; leitura a 450 nm; matriz: plasma (heparina de lítio); −80°C;</w:t>
      </w:r>
      <w:r>
        <w:t xml:space="preserve"> </w:t>
      </w:r>
      <w:r>
        <w:t xml:space="preserve">• CAT: decomposição de H₂O₂ (Aebi, 1984); leitura a 240 nm; matriz: plasma (heparina de lítio); −80°C;</w:t>
      </w:r>
      <w:r>
        <w:t xml:space="preserve"> </w:t>
      </w:r>
      <w:r>
        <w:t xml:space="preserve">• GPx: oxidação de NADPH; leitura a 340 nm; matriz: plasma (heparina de lítio); −80°C;</w:t>
      </w:r>
      <w:r>
        <w:t xml:space="preserve"> </w:t>
      </w:r>
      <w:r>
        <w:t xml:space="preserve">• TAC: método DPPH ou ABTS; leitura colorimétrica; matriz: plasma (heparina de lítio — NUNCA EDTA); −80°C, máx. 8 semanas, com análises realizadas em lotes para minimizar variabilidade inter-ensaio. Todas as amostras de um mesmo garanhão serão analisadas na mesma corrida.</w:t>
      </w:r>
      <w:r>
        <w:t xml:space="preserve"> </w:t>
      </w:r>
      <w:r>
        <w:t xml:space="preserve">5.11 Estresse oxidativo seminal — UNIPEX/UNESP</w:t>
      </w:r>
      <w:r>
        <w:t xml:space="preserve"> </w:t>
      </w:r>
      <w:r>
        <w:t xml:space="preserve">Plasma seminal obtido por centrifugação do ejaculado a 800 × g por 10 min, aliquotado em crioviais e armazenado a −80°C. Serão dosados:</w:t>
      </w:r>
      <w:r>
        <w:t xml:space="preserve"> </w:t>
      </w:r>
      <w:r>
        <w:t xml:space="preserve">• TBARS seminal: mesmo protocolo do EO sistêmico, adaptado para plasma seminal; resultado expresso em nmol MDA/mL ou µmol MDA/g de proteína;</w:t>
      </w:r>
      <w:r>
        <w:t xml:space="preserve"> </w:t>
      </w:r>
      <w:r>
        <w:t xml:space="preserve">• TAC seminal: método DPPH ou ABTS na mesma corrida das amostras de sangue; resultado expresso em equivalentes Trolox (µmol/mL). Permite estabelecer a correlação sangue × sêmen diretamente.</w:t>
      </w:r>
      <w:r>
        <w:t xml:space="preserve"> </w:t>
      </w:r>
      <w:r>
        <w:t xml:space="preserve">Nota: ROS intracelular e lipoperoxidação espermática (C11-BODIPY) serão avaliados por citometria de fluxo (protocolos P4 e P5 da seção 5.9), não por ensaios bioquímicos.</w:t>
      </w:r>
      <w:r>
        <w:t xml:space="preserve"> </w:t>
      </w:r>
      <w:r>
        <w:t xml:space="preserve">5.12 Perfil hormonal — detalhamento</w:t>
      </w:r>
      <w:r>
        <w:t xml:space="preserve"> </w:t>
      </w:r>
      <w:r>
        <w:t xml:space="preserve">Coleta de soro: tubo sem anticoagulante, centrifugação 2.000 × g por 10 min, alíquotas de 0,5–1 mL em crioviais, armazenamento a −80°C até envio em lote. FSH: coleta padronizada pelo mesmo horário em todas as sessões, dado o padrão pulsátil de secreção; interpretado como variável auxiliar. Testosterona, estradiol e inibina B são os marcadores nucleares do painel.</w:t>
      </w:r>
      <w:r>
        <w:t xml:space="preserve"> </w:t>
      </w:r>
      <w:r>
        <w:t xml:space="preserve">5.13 Biobanco de DNA espermático</w:t>
      </w:r>
      <w:r>
        <w:t xml:space="preserve"> </w:t>
      </w:r>
      <w:r>
        <w:t xml:space="preserve">Protocolo: (1) transferir 5–10 mL de ejaculado para tubo cônico de 15 mL; (2) centrifugar a 800 × g por 10 min; (3) ressuspender pellet em 1–2 mL de PBS estéril (pH 7,4); (4) centrifugar a 600 × g por 5 min — lavagem (2×); (5) ressuspender pellet final em 200–500 µL de PBS; (6) dividir em 2–3 alíquotas (≥ 10 × 10⁶ sptz/alíquota); (7) snap freezing em N₂ líquido; (8) transferir para −80°C. Sem diluidor ou crioprotetor. Metadados obrigatórios por alíquota: ID do animal, grupo, raça, idade exata, data da coleta, número da coleta, concentração, volume, posição no freezer.</w:t>
      </w:r>
      <w:r>
        <w:t xml:space="preserve"> </w:t>
      </w:r>
      <w:r>
        <w:t xml:space="preserve">Nota: o armazenamento a −80°C é adequado para preservação de DNA genômico. Para futuras aplicações que requeiram integridade de RNA (transcriptômica), alíquotas adicionais serão preparadas em RNAlater® e armazenadas separadamente a −80°C.</w:t>
      </w:r>
      <w:r>
        <w:t xml:space="preserve"> </w:t>
      </w:r>
      <w:r>
        <w:t xml:space="preserve">Aplicações futuras: metilação global do DNA (5-mC por ELISA), RRBS, WGBS, SNP genotyping, transcriptômica espermática (RNA-seq). Esta iniciativa representa o um dos primeiros biobancos de germoplasma espermático para genômica e epigenômica em garanhões estratificados por senescência no Brasil.</w:t>
      </w:r>
      <w:r>
        <w:t xml:space="preserve"> </w:t>
      </w:r>
      <w:r>
        <w:t xml:space="preserve">5.14 Proteômica do plasma seminal — LC-MS/MS [Módulo Condicional]</w:t>
      </w:r>
      <w:r>
        <w:t xml:space="preserve"> </w:t>
      </w:r>
      <w:r>
        <w:t xml:space="preserve">Status: condicional — execução depende de disponibilidade orçamentária. As amostras de plasma seminal serão coletadas e armazenadas a −80°C independentemente da decisão de execução. Se ativado: determinação de proteína total por Bradford; digestão proteolítica com tripsina (20 ng/µL, 1:50, overnight); extração de peptídeos com ácido fórmico 5%; análise em sistema nanoElute acoplado a timsTOF Pro com modo de aquisição PASEF (Bruker), conforme protocolo de Shevchenko et al. (2006); processamento no software PEAKS Studio v10.6, FDR ≤ 1%; análise bioinformática por Gene Ontology, KEGG e STRING, com foco em: enzimas antioxidantes (SOD1, AKR1B1, PRDXs), proteínas do ciclo de Krebs e OXPHOS, HSPs e proteínas testículo-específicas (LDHC, PGK2, HSPA2).</w:t>
      </w:r>
      <w:r>
        <w:t xml:space="preserve"> </w:t>
      </w:r>
      <w:r>
        <w:t xml:space="preserve">5.15 Cálculo amostral</w:t>
      </w:r>
      <w:r>
        <w:t xml:space="preserve"> </w:t>
      </w:r>
      <w:r>
        <w:t xml:space="preserve">Baseado em El-Sisy et al. (2016) — TBARS seminal (variável primária — hipótese central de correlação sangue × sêmen): grupo adulto (5–6 anos) = 2,14 ± 0,31 nmol/mL; grupo senil (15–20 anos) = 3,88 ± 0,59 nmol/mL; δ = 1,74 nmol/mL; σ combinado ≈ 0,47 nmol/mL; tamanho de efeito d ≈ 3,7. Com d = 3,7, poder de 80% e α = 0,05 bilateral, seriam necessários n = 3 animais por grupo. Entretanto, adotou-se n = 12 por grupo (24 animais total) considerando: variabilidade interindividual em populações heterogêneas vs. Árabes puros de El-Sisy; necessidade de poder adequado para análises fatoriais 2×2 (idade × GC/BC); e possíveis perdas e exclusões durante o período experimental. Com n = 12, o poder para a variável primária supera 90%, e as análises secundárias e correlacionais dispõem de representatividade adequada. Para a análise fatorial 2×2 (idade × refrigerabilidade), com 4 células e n = 12 por grupo etário, espera-se em média 6 animais por célula, o que pode limitar o poder estatístico para interações. Essa limitação será mitigada pela inclusão da idade como variável contínua em modelos lineares mistos.</w:t>
      </w:r>
      <w:r>
        <w:t xml:space="preserve"> </w:t>
      </w:r>
      <w:r>
        <w:t xml:space="preserve">5.16 Análise estatística</w:t>
      </w:r>
      <w:r>
        <w:t xml:space="preserve"> </w:t>
      </w:r>
      <w:r>
        <w:t xml:space="preserve">(a) Normalidade: Shapiro-Wilk; homocedasticidade: Bartlett. (b) Comparações GJ vs. GS: teste t de Student (paramétrico) ou Mann-Whitney (não paramétrico). (c) Análise fatorial 2×2 (idade × refrigerabilidade): ANOVA bifatorial. (d) Comparação entre condições de preservação: ANOVA de medidas repetidas ou Friedman. (e) Comparação BotuSemen® vs. BotuSpecial®: ANOVA de medidas repetidas (T0, T24h, T48h). (f) Correlações: Pearson ou Spearman. (g) ACP para integração multivariada. (h) Modelos lineares mistos com idade como variável contínua e garanhão como efeito aleatório, considerando a estrutura hierárquica dos dados (duas coletas aninhadas em cada animal). Raça será incluída como covariável em todos os modelos. (i) Nível de significância: P &lt; 0,05. Software: R.</w:t>
      </w:r>
      <w:r>
        <w:t xml:space="preserve"> </w:t>
      </w:r>
      <w:r>
        <w:t xml:space="preserve">Correção para comparações múltiplas: dado o número elevado de variáveis testadas simultaneamente (5 hormônios, 5 marcadores de EO sistêmico, 2 de EO seminal, 9+ parâmetros CASA e 7 protocolos de citometria), será aplicada correção de Benjamini-Hochberg (FDR — False Discovery Rate) para controlar a taxa de falsos positivos, com FDR ≤ 0,05.</w:t>
      </w:r>
      <w:r>
        <w:t xml:space="preserve"> </w:t>
      </w:r>
      <w:r>
        <w:t xml:space="preserve">6. Cronograma de Desenvolvimento</w:t>
      </w:r>
    </w:p>
    <w:p>
      <w:pPr>
        <w:pStyle w:val="BodyText"/>
      </w:pPr>
      <w:r>
        <w:t xml:space="preserve">Atividade</w:t>
      </w:r>
      <w:r>
        <w:t xml:space="preserve"> </w:t>
      </w:r>
      <w:r>
        <w:t xml:space="preserve">2025-1</w:t>
      </w:r>
      <w:r>
        <w:t xml:space="preserve"> </w:t>
      </w:r>
      <w:r>
        <w:t xml:space="preserve">2025-2</w:t>
      </w:r>
      <w:r>
        <w:t xml:space="preserve"> </w:t>
      </w:r>
      <w:r>
        <w:t xml:space="preserve">2026-1</w:t>
      </w:r>
      <w:r>
        <w:t xml:space="preserve"> </w:t>
      </w:r>
      <w:r>
        <w:t xml:space="preserve">2026-2</w:t>
      </w:r>
      <w:r>
        <w:t xml:space="preserve"> </w:t>
      </w:r>
      <w:r>
        <w:t xml:space="preserve">2027-1</w:t>
      </w:r>
      <w:r>
        <w:t xml:space="preserve"> </w:t>
      </w:r>
      <w:r>
        <w:t xml:space="preserve">2027-2</w:t>
      </w:r>
      <w:r>
        <w:t xml:space="preserve"> </w:t>
      </w:r>
      <w:r>
        <w:t xml:space="preserve">2028-1</w:t>
      </w:r>
      <w:r>
        <w:t xml:space="preserve"> </w:t>
      </w:r>
      <w:r>
        <w:t xml:space="preserve">2028-2</w:t>
      </w:r>
      <w:r>
        <w:t xml:space="preserve"> </w:t>
      </w:r>
      <w:r>
        <w:t xml:space="preserve">Levantamento bibliográfico</w:t>
      </w:r>
      <w:r>
        <w:t xml:space="preserve"> </w:t>
      </w:r>
      <w:r>
        <w:t xml:space="preserve">X</w:t>
      </w:r>
      <w:r>
        <w:t xml:space="preserve"> </w:t>
      </w:r>
      <w:r>
        <w:t xml:space="preserve">X</w:t>
      </w:r>
      <w:r>
        <w:t xml:space="preserve"> </w:t>
      </w:r>
      <w:r>
        <w:t xml:space="preserve">X</w:t>
      </w:r>
      <w:r>
        <w:t xml:space="preserve"> </w:t>
      </w:r>
      <w:r>
        <w:t xml:space="preserve">X</w:t>
      </w:r>
    </w:p>
    <w:p>
      <w:pPr>
        <w:pStyle w:val="BodyText"/>
      </w:pPr>
      <w:r>
        <w:t xml:space="preserve">Aprovação CEUA</w:t>
      </w:r>
      <w:r>
        <w:t xml:space="preserve"> </w:t>
      </w:r>
      <w:r>
        <w:t xml:space="preserve">X</w:t>
      </w:r>
    </w:p>
    <w:p>
      <w:pPr>
        <w:pStyle w:val="BodyText"/>
      </w:pPr>
      <w:r>
        <w:t xml:space="preserve">Padronização técnicas (UNIPEX/CERAN)</w:t>
      </w:r>
      <w:r>
        <w:t xml:space="preserve"> </w:t>
      </w:r>
      <w:r>
        <w:t xml:space="preserve">X</w:t>
      </w:r>
      <w:r>
        <w:t xml:space="preserve"> </w:t>
      </w:r>
      <w:r>
        <w:t xml:space="preserve">X</w:t>
      </w:r>
    </w:p>
    <w:p>
      <w:pPr>
        <w:pStyle w:val="BodyText"/>
      </w:pPr>
      <w:r>
        <w:t xml:space="preserve">Seleção e triagem dos animais</w:t>
      </w:r>
    </w:p>
    <w:p>
      <w:pPr>
        <w:pStyle w:val="BodyText"/>
      </w:pPr>
      <w:r>
        <w:t xml:space="preserve">X</w:t>
      </w:r>
    </w:p>
    <w:p>
      <w:pPr>
        <w:pStyle w:val="BodyText"/>
      </w:pPr>
      <w:r>
        <w:t xml:space="preserve">Exame andrológico / ultrassom / termografia</w:t>
      </w:r>
    </w:p>
    <w:p>
      <w:pPr>
        <w:pStyle w:val="BodyText"/>
      </w:pPr>
      <w:r>
        <w:t xml:space="preserve">X</w:t>
      </w:r>
      <w:r>
        <w:t xml:space="preserve"> </w:t>
      </w:r>
      <w:r>
        <w:t xml:space="preserve">X</w:t>
      </w:r>
      <w:r>
        <w:t xml:space="preserve"> </w:t>
      </w:r>
      <w:r>
        <w:t xml:space="preserve">X</w:t>
      </w:r>
    </w:p>
    <w:p>
      <w:pPr>
        <w:pStyle w:val="BodyText"/>
      </w:pPr>
      <w:r>
        <w:t xml:space="preserve">Colheitas sangue + sêmen</w:t>
      </w:r>
    </w:p>
    <w:p>
      <w:pPr>
        <w:pStyle w:val="BodyText"/>
      </w:pPr>
      <w:r>
        <w:t xml:space="preserve">X</w:t>
      </w:r>
      <w:r>
        <w:t xml:space="preserve"> </w:t>
      </w:r>
      <w:r>
        <w:t xml:space="preserve">X</w:t>
      </w:r>
      <w:r>
        <w:t xml:space="preserve"> </w:t>
      </w:r>
      <w:r>
        <w:t xml:space="preserve">X</w:t>
      </w:r>
    </w:p>
    <w:p>
      <w:pPr>
        <w:pStyle w:val="BodyText"/>
      </w:pPr>
      <w:r>
        <w:t xml:space="preserve">CASA + morfologia + conservação seminal</w:t>
      </w:r>
    </w:p>
    <w:p>
      <w:pPr>
        <w:pStyle w:val="BodyText"/>
      </w:pPr>
      <w:r>
        <w:t xml:space="preserve">X</w:t>
      </w:r>
      <w:r>
        <w:t xml:space="preserve"> </w:t>
      </w:r>
      <w:r>
        <w:t xml:space="preserve">X</w:t>
      </w:r>
      <w:r>
        <w:t xml:space="preserve"> </w:t>
      </w:r>
      <w:r>
        <w:t xml:space="preserve">X</w:t>
      </w:r>
    </w:p>
    <w:p>
      <w:pPr>
        <w:pStyle w:val="BodyText"/>
      </w:pPr>
      <w:r>
        <w:t xml:space="preserve">Citometria de fluxo (7 protocolos)</w:t>
      </w:r>
    </w:p>
    <w:p>
      <w:pPr>
        <w:pStyle w:val="BodyText"/>
      </w:pPr>
      <w:r>
        <w:t xml:space="preserve">X</w:t>
      </w:r>
      <w:r>
        <w:t xml:space="preserve"> </w:t>
      </w:r>
      <w:r>
        <w:t xml:space="preserve">X</w:t>
      </w:r>
      <w:r>
        <w:t xml:space="preserve"> </w:t>
      </w:r>
      <w:r>
        <w:t xml:space="preserve">X</w:t>
      </w:r>
    </w:p>
    <w:p>
      <w:pPr>
        <w:pStyle w:val="BodyText"/>
      </w:pPr>
      <w:r>
        <w:t xml:space="preserve">Hormônios — ELISA (lab. terceirizado)</w:t>
      </w:r>
    </w:p>
    <w:p>
      <w:pPr>
        <w:pStyle w:val="BodyText"/>
      </w:pPr>
      <w:r>
        <w:t xml:space="preserve">X</w:t>
      </w:r>
      <w:r>
        <w:t xml:space="preserve"> </w:t>
      </w:r>
      <w:r>
        <w:t xml:space="preserve">X</w:t>
      </w:r>
      <w:r>
        <w:t xml:space="preserve"> </w:t>
      </w:r>
      <w:r>
        <w:t xml:space="preserve">X</w:t>
      </w:r>
    </w:p>
    <w:p>
      <w:pPr>
        <w:pStyle w:val="BodyText"/>
      </w:pPr>
      <w:r>
        <w:t xml:space="preserve">EO sistêmico no sangue (UNIPEX)</w:t>
      </w:r>
    </w:p>
    <w:p>
      <w:pPr>
        <w:pStyle w:val="BodyText"/>
      </w:pPr>
      <w:r>
        <w:t xml:space="preserve">X</w:t>
      </w:r>
      <w:r>
        <w:t xml:space="preserve"> </w:t>
      </w:r>
      <w:r>
        <w:t xml:space="preserve">X</w:t>
      </w:r>
      <w:r>
        <w:t xml:space="preserve"> </w:t>
      </w:r>
      <w:r>
        <w:t xml:space="preserve">X</w:t>
      </w:r>
    </w:p>
    <w:p>
      <w:pPr>
        <w:pStyle w:val="BodyText"/>
      </w:pPr>
      <w:r>
        <w:t xml:space="preserve">EO seminal — TBARS + TAC (UNIPEX)</w:t>
      </w:r>
    </w:p>
    <w:p>
      <w:pPr>
        <w:pStyle w:val="BodyText"/>
      </w:pPr>
      <w:r>
        <w:t xml:space="preserve">X</w:t>
      </w:r>
      <w:r>
        <w:t xml:space="preserve"> </w:t>
      </w:r>
      <w:r>
        <w:t xml:space="preserve">X</w:t>
      </w:r>
      <w:r>
        <w:t xml:space="preserve"> </w:t>
      </w:r>
      <w:r>
        <w:t xml:space="preserve">X</w:t>
      </w:r>
    </w:p>
    <w:p>
      <w:pPr>
        <w:pStyle w:val="BodyText"/>
      </w:pPr>
      <w:r>
        <w:t xml:space="preserve">Biobanco DNA espermático (−80°C)</w:t>
      </w:r>
    </w:p>
    <w:p>
      <w:pPr>
        <w:pStyle w:val="BodyText"/>
      </w:pPr>
      <w:r>
        <w:t xml:space="preserve">X</w:t>
      </w:r>
      <w:r>
        <w:t xml:space="preserve"> </w:t>
      </w:r>
      <w:r>
        <w:t xml:space="preserve">X</w:t>
      </w:r>
      <w:r>
        <w:t xml:space="preserve"> </w:t>
      </w:r>
      <w:r>
        <w:t xml:space="preserve">X</w:t>
      </w:r>
    </w:p>
    <w:p>
      <w:pPr>
        <w:pStyle w:val="BodyText"/>
      </w:pPr>
      <w:r>
        <w:t xml:space="preserve">Proteômica LC-MS/MS (se verba FAPESP)</w:t>
      </w:r>
    </w:p>
    <w:p>
      <w:pPr>
        <w:pStyle w:val="BodyText"/>
      </w:pPr>
      <w:r>
        <w:t xml:space="preserve">X</w:t>
      </w:r>
      <w:r>
        <w:t xml:space="preserve"> </w:t>
      </w:r>
      <w:r>
        <w:t xml:space="preserve">X</w:t>
      </w:r>
      <w:r>
        <w:t xml:space="preserve"> </w:t>
      </w:r>
      <w:r>
        <w:t xml:space="preserve">X</w:t>
      </w:r>
    </w:p>
    <w:p>
      <w:pPr>
        <w:pStyle w:val="BodyText"/>
      </w:pPr>
      <w:r>
        <w:t xml:space="preserve">Análise estatística integrada</w:t>
      </w:r>
    </w:p>
    <w:p>
      <w:pPr>
        <w:pStyle w:val="BodyText"/>
      </w:pPr>
      <w:r>
        <w:t xml:space="preserve">X</w:t>
      </w:r>
      <w:r>
        <w:t xml:space="preserve"> </w:t>
      </w:r>
      <w:r>
        <w:t xml:space="preserve">X</w:t>
      </w:r>
    </w:p>
    <w:p>
      <w:pPr>
        <w:pStyle w:val="BodyText"/>
      </w:pPr>
      <w:r>
        <w:t xml:space="preserve">Redação de artigos</w:t>
      </w:r>
    </w:p>
    <w:p>
      <w:pPr>
        <w:pStyle w:val="BodyText"/>
      </w:pPr>
      <w:r>
        <w:t xml:space="preserve">X</w:t>
      </w:r>
      <w:r>
        <w:t xml:space="preserve"> </w:t>
      </w:r>
      <w:r>
        <w:t xml:space="preserve">X</w:t>
      </w:r>
      <w:r>
        <w:t xml:space="preserve"> </w:t>
      </w:r>
      <w:r>
        <w:t xml:space="preserve">X</w:t>
      </w:r>
      <w:r>
        <w:t xml:space="preserve"> </w:t>
      </w:r>
      <w:r>
        <w:t xml:space="preserve">X</w:t>
      </w:r>
    </w:p>
    <w:p>
      <w:pPr>
        <w:pStyle w:val="BodyText"/>
      </w:pPr>
      <w:r>
        <w:t xml:space="preserve">Defesa de tese</w:t>
      </w:r>
    </w:p>
    <w:p>
      <w:pPr>
        <w:pStyle w:val="BodyText"/>
      </w:pPr>
      <w:r>
        <w:t xml:space="preserve">X</w:t>
      </w:r>
      <w:r>
        <w:t xml:space="preserve"> </w:t>
      </w:r>
      <w:r>
        <w:t xml:space="preserve">X</w:t>
      </w:r>
    </w:p>
    <w:p>
      <w:pPr>
        <w:pStyle w:val="BodyText"/>
      </w:pPr>
      <w:r>
        <w:t xml:space="preserve">Referências Bibliográficas</w:t>
      </w:r>
      <w:r>
        <w:t xml:space="preserve"> </w:t>
      </w:r>
      <w:r>
        <w:t xml:space="preserve">AL-KHERAIJE, K. A. et al. Effect of aging on the hormonal profile and semen quality of Arabian stallions. Slovenian Veterinary Research, v. 58, p. 307–314, 2021. PMID: 34839940.</w:t>
      </w:r>
      <w:r>
        <w:t xml:space="preserve"> </w:t>
      </w:r>
      <w:r>
        <w:t xml:space="preserve">ASAHI, T.; ARAI, K.; TANAKA, H. Age-related changes in oxidative stress and antioxidant capacity in horses. Frontiers in Veterinary Science, v. 11, p. 1345548, 2024. PMID: 38370235.</w:t>
      </w:r>
      <w:r>
        <w:t xml:space="preserve"> </w:t>
      </w:r>
      <w:r>
        <w:t xml:space="preserve">BENEDETTI, S. et al. Reactive oxygen species and antioxidant levels in seminal plasma of infertile men: a comparison with fertile donors. Reproductive BioMedicine Online, v. 25, n. 3, p. 300–306, 2012. PMID: 22575281.</w:t>
      </w:r>
      <w:r>
        <w:t xml:space="preserve"> </w:t>
      </w:r>
      <w:r>
        <w:t xml:space="preserve">CBRA — COLÉGIO BRASILEIRO DE REPRODUÇÃO ANIMAL. Manual para exame andrológico e avaliação de sêmen animal. 3. ed. Belo Horizonte: CBRA, 2013.</w:t>
      </w:r>
      <w:r>
        <w:t xml:space="preserve"> </w:t>
      </w:r>
      <w:r>
        <w:t xml:space="preserve">DARR, C. R. et al. Lactate and pyruvate are major sources of energy for stallion sperm with dose effects on mitochondrial function, motility, and ROS production. Biology of Reproduction, v. 95, n. 2, p. 34, 2016. PMID: 27335066.</w:t>
      </w:r>
      <w:r>
        <w:t xml:space="preserve"> </w:t>
      </w:r>
      <w:r>
        <w:t xml:space="preserve">DARR, C. R. et al. Stallion sperm mitochondrial function is affected by age and predicts post-thaw motility.</w:t>
      </w:r>
      <w:r>
        <w:t xml:space="preserve"> </w:t>
      </w:r>
      <w:r>
        <w:rPr>
          <w:b/>
          <w:bCs/>
        </w:rPr>
        <w:t xml:space="preserve">Journal of Equine Veterinary Science</w:t>
      </w:r>
      <w:r>
        <w:t xml:space="preserve">, v. 50, p. 52–61, 2017.</w:t>
      </w:r>
      <w:r>
        <w:t xml:space="preserve"> </w:t>
      </w:r>
      <w:r>
        <w:t xml:space="preserve">EL-SISY, G. A.; ABO EL-MAATY, A. M.; RAWASH, Z. M. Evaluation of oxidant/antioxidant status of seminal plasma, blood serum and follicular fluid in Arabian horses with different ages.</w:t>
      </w:r>
      <w:r>
        <w:t xml:space="preserve"> </w:t>
      </w:r>
      <w:r>
        <w:rPr>
          <w:b/>
          <w:bCs/>
        </w:rPr>
        <w:t xml:space="preserve">Asian Pacific Journal of Reproduction</w:t>
      </w:r>
      <w:r>
        <w:t xml:space="preserve">, v. 5, n. 5, p. 428–433, 2016.</w:t>
      </w:r>
      <w:r>
        <w:t xml:space="preserve"> </w:t>
      </w:r>
      <w:r>
        <w:t xml:space="preserve">EVENSON, D. P.; DARZYNKIEWICZ, Z.; MELAMED, M. R. Relation of mammalian sperm chromatin heterogeneity to fertility. Science, v. 210, n. 4474, p. 1131–1133, 1980.</w:t>
      </w:r>
      <w:r>
        <w:t xml:space="preserve"> </w:t>
      </w:r>
      <w:r>
        <w:t xml:space="preserve">GIBB, Z. et al. Glycerophospholipids protect stallion spermatozoa from oxidative damage in vitro. Reproduction and Fertility, v. 2, n. 3, 2021. PMID: 35118390.</w:t>
      </w:r>
      <w:r>
        <w:t xml:space="preserve"> </w:t>
      </w:r>
      <w:r>
        <w:t xml:space="preserve">GUO, Y. et al. A new perspective on semen quality of aged male: the characteristics of metabolomics and proteomics. Frontiers in Endocrinology, v. 13, p. 1058250, 2023.</w:t>
      </w:r>
      <w:r>
        <w:t xml:space="preserve"> </w:t>
      </w:r>
      <w:r>
        <w:t xml:space="preserve">HARRIS, I. T. et al. Temporal trends in equine sperm progressive motility: a systematic review and meta-regression. Reproduction, v. 165, n. 6, p. M1–M10, 2023. PMID: 37000597.</w:t>
      </w:r>
      <w:r>
        <w:t xml:space="preserve"> </w:t>
      </w:r>
      <w:r>
        <w:t xml:space="preserve">HENNEKE, D. R. et al. Relationship between condition score, physical measurements and body fat percentage in mares. Equine Veterinary Journal, v. 15, p. 371–372, 1983.</w:t>
      </w:r>
      <w:r>
        <w:t xml:space="preserve"> </w:t>
      </w:r>
      <w:r>
        <w:t xml:space="preserve">KHAN, I. U. et al. Strategic approaches to improve equine breeding and stud farm outcomes. Veterinary World, v. 18, n. 2, p. 311–328, 2025. PMID: 40182817.</w:t>
      </w:r>
      <w:r>
        <w:t xml:space="preserve"> </w:t>
      </w:r>
      <w:r>
        <w:t xml:space="preserve">LOVE, C. C.; KENNEY, R. M. The relationship of increased susceptibility of sperm DNA denaturation with decreased fertility in the stallion.</w:t>
      </w:r>
      <w:r>
        <w:t xml:space="preserve"> </w:t>
      </w:r>
      <w:r>
        <w:rPr>
          <w:b/>
          <w:bCs/>
        </w:rPr>
        <w:t xml:space="preserve">Theriogenology</w:t>
      </w:r>
      <w:r>
        <w:t xml:space="preserve">, v. 50, n. 6, p. 955–972, 1998.</w:t>
      </w:r>
      <w:r>
        <w:t xml:space="preserve"> </w:t>
      </w:r>
      <w:r>
        <w:t xml:space="preserve">MORTE, M. I. et al. The quantification of lipid and protein oxidation in stallion spermatozoa and seminal plasma: seasonal distinctions and correlations with DNA strand breaks, classical seminal parameters and stallion fertility. Animal Reproduction Science, v. 106, n. 1–2, p. 36–47, 2008. PMID: 17916415.</w:t>
      </w:r>
      <w:r>
        <w:t xml:space="preserve"> </w:t>
      </w:r>
      <w:r>
        <w:t xml:space="preserve">NAGATA, S. et al. Inhibin secretion in the stallion. Equine Veterinary Journal, v. 30, n. 2, p. 98–103, 1998. PMID: 9535064.</w:t>
      </w:r>
      <w:r>
        <w:t xml:space="preserve"> </w:t>
      </w:r>
      <w:r>
        <w:t xml:space="preserve">ORTEGA-FERRUSOLA, C.; GRACIA-CALVO, L. A.; EZQUERRA, J.; PEÑA, F. J. Use of colour and spectral Doppler ultrasonography in stallion andrology.</w:t>
      </w:r>
      <w:r>
        <w:t xml:space="preserve"> </w:t>
      </w:r>
      <w:r>
        <w:rPr>
          <w:b/>
          <w:bCs/>
        </w:rPr>
        <w:t xml:space="preserve">Reproduction in Domestic Animals</w:t>
      </w:r>
      <w:r>
        <w:t xml:space="preserve">, v. 49, Suppl. 4, p. 88–96, 2014.</w:t>
      </w:r>
      <w:r>
        <w:t xml:space="preserve"> </w:t>
      </w:r>
      <w:r>
        <w:t xml:space="preserve">ORTEGA-FERRUSOLA, C. et al. Detection of apoptosis-like changes during the cryopreservation process in equine sperm. Journal of Andrology, v. 29, n. 2, p. 213–221, 2008.</w:t>
      </w:r>
      <w:r>
        <w:t xml:space="preserve"> </w:t>
      </w:r>
      <w:r>
        <w:t xml:space="preserve">PEÑA, F. J. et al. Redox regulation and oxidative stress: the particular case of the stallion spermatozoa. Antioxidants, v. 8, n. 11, p. 567, 2019. PMID: 31752408.</w:t>
      </w:r>
      <w:r>
        <w:t xml:space="preserve"> </w:t>
      </w:r>
      <w:r>
        <w:t xml:space="preserve">PEÑA, F. J. et al. Proteomics is advancing the understanding of stallion sperm biology. PROTEOMICS, v. 24, n. 3–4, p. e2300522, 2024.</w:t>
      </w:r>
      <w:r>
        <w:t xml:space="preserve"> </w:t>
      </w:r>
      <w:r>
        <w:t xml:space="preserve">SELVARATNAM, J.; ROBAIRE, B. Effects of aging on spermatozoal DNA-strand breaks and chromatin remodeling in the Brown Norway rat model. Biology of Reproduction, v. 95, n. 3, p. 60, 2016. PMID: 27335369.</w:t>
      </w:r>
      <w:r>
        <w:t xml:space="preserve"> </w:t>
      </w:r>
      <w:r>
        <w:t xml:space="preserve">SHEVCHENKO, A. et al. In-gel digestion for mass spectrometric characterization of proteins and proteomes. Nature Protocols, v. 1, p. 2856–2860, 2006.</w:t>
      </w:r>
      <w:r>
        <w:t xml:space="preserve"> </w:t>
      </w:r>
      <w:r>
        <w:t xml:space="preserve">STEWART, B. L.; ROSER, J. F. Effects of age, season, and fertility status on plasma and intratesticular immunoreactive (IR) inhibin concentrations in stallions. Domestic Animal Endocrinology, v. 15, n. 2, p. 129–139, 1998. PMID: 9532426.</w:t>
      </w:r>
      <w:r>
        <w:t xml:space="preserve"> </w:t>
      </w:r>
      <w:r>
        <w:t xml:space="preserve">TALLURI, T. R. et al. High throughput deep proteomic analysis of seminal plasma from stallions with contrasting semen quality. Systems Biology in Reproductive Medicine, v. 68, p. 272–285, 2022.</w:t>
      </w:r>
      <w:r>
        <w:t xml:space="preserve"> </w:t>
      </w:r>
      <w:r>
        <w:t xml:space="preserve">TURNER, R. M. Pathogenesis, diagnosis, and management of testicular degeneration in stallions. Clinical Techniques in Equine Practice, v. 6, n. 4, p. 278–284, 2007. PMID: 17970370.</w:t>
      </w:r>
      <w:r>
        <w:t xml:space="preserve"> </w:t>
      </w:r>
      <w:r>
        <w:t xml:space="preserve">TURNER, R. M. et al. Xenografting restores spermatogenesis to cryptorchid testicular tissue but does not rescue the phenotype of idiopathic testicular degeneration in the horse (Equus caballus). Reproduction, Fertility and Development, v. 22, n. 4, p. 673–683, 2010. PMID: 20003809.</w:t>
      </w:r>
      <w:r>
        <w:t xml:space="preserve"> </w:t>
      </w:r>
      <w:r>
        <w:t xml:space="preserve">TURNER, R. M. Declining testicular function in the aging stallion: management options and future therapies. Animal Reproduction Science, v. 207, p. 171–179, 2019. PMID: 31227324.</w:t>
      </w:r>
      <w:r>
        <w:t xml:space="preserve"> </w:t>
      </w:r>
      <w:r>
        <w:t xml:space="preserve">TURNER, R. M.; ZENG, W. The emerging pathophysiology of age-related testicular degeneration with a focus on the stallion. Reproduction in Domestic Animals, v. 47, p. 178–186, 2012. PMID: 22805481.</w:t>
      </w:r>
      <w:r>
        <w:t xml:space="preserve"> </w:t>
      </w:r>
      <w:r>
        <w:t xml:space="preserve">WAQAS, M. S.; ARROYO, E.; TIBARY, A. Diagnostic approach to equine testicular disorders. Veterinary Sciences, v. 11, n. 6, p. 243, 2024. PMID: 38921990.</w:t>
      </w:r>
      <w:r>
        <w:t xml:space="preserve"> </w:t>
      </w:r>
      <w:r>
        <w:t xml:space="preserve">WOODWARD, E. et al. Characterisation of the testicular transcriptome in stallions with age-related testicular degeneration. Equine Veterinary Journal, v. 55, n. 2, p. 239–252, 2023. PMID: 35569039.</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2026-04-04T19:10:48Z</dcterms:created>
  <dcterms:modified xsi:type="dcterms:W3CDTF">2026-04-04T19:10:48Z</dcterms:modified>
</cp:coreProperties>
</file>

<file path=docProps/custom.xml><?xml version="1.0" encoding="utf-8"?>
<Properties xmlns="http://schemas.openxmlformats.org/officeDocument/2006/custom-properties" xmlns:vt="http://schemas.openxmlformats.org/officeDocument/2006/docPropsVTypes"/>
</file>