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UNIVERSIDADE ESTADUAL PAULISTA - UNESP</w:t>
      </w:r>
      <w:r>
        <w:t xml:space="preserve"> </w:t>
      </w:r>
      <w:r>
        <w:t xml:space="preserve">Faculdade de Medicina Veterinária e Zootecnia - Botucatu</w:t>
      </w:r>
      <w:r>
        <w:t xml:space="preserve"> </w:t>
      </w:r>
      <w:r>
        <w:t xml:space="preserve">Programa de Pós-Graduação em Biotecnologia Animal</w:t>
      </w:r>
    </w:p>
    <w:p>
      <w:pPr>
        <w:pStyle w:val="BodyText"/>
      </w:pPr>
      <w:r>
        <w:t xml:space="preserve">PRÉ-PROJETO DE PESQUISA</w:t>
      </w:r>
      <w:r>
        <w:t xml:space="preserve"> </w:t>
      </w:r>
      <w:r>
        <w:t xml:space="preserve">FERROPTOSE NO ESPERMATOZOIDE EQUINO:</w:t>
      </w:r>
      <w:r>
        <w:t xml:space="preserve"> </w:t>
      </w:r>
      <w:r>
        <w:t xml:space="preserve">Papel na Criopreservação e Potencial Terapêutico de Inibidores Farmacológicos</w:t>
      </w:r>
    </w:p>
    <w:p>
      <w:pPr>
        <w:pStyle w:val="BodyText"/>
      </w:pPr>
      <w:r>
        <w:t xml:space="preserve">Proponente: Iara Macêdo Petelinkar</w:t>
      </w:r>
      <w:r>
        <w:t xml:space="preserve"> </w:t>
      </w:r>
      <w:r>
        <w:t xml:space="preserve">Orientador: Prof. Dr. Gabriel Augusto Monteiro</w:t>
      </w:r>
      <w:r>
        <w:t xml:space="preserve"> </w:t>
      </w:r>
      <w:r>
        <w:t xml:space="preserve">DRARV/CERAN - FMVZ/UNESP Botucatu</w:t>
      </w:r>
    </w:p>
    <w:p>
      <w:pPr>
        <w:pStyle w:val="BodyText"/>
      </w:pPr>
      <w:r>
        <w:t xml:space="preserve">Botucatu, SP - 2026</w:t>
      </w:r>
    </w:p>
    <w:bookmarkStart w:id="9" w:name="introdução-e-justificativa"/>
    <w:p>
      <w:pPr>
        <w:pStyle w:val="Heading1"/>
      </w:pPr>
      <w:r>
        <w:t xml:space="preserve">1. INTRODUÇÃO E JUSTIFICATIVA</w:t>
      </w:r>
    </w:p>
    <w:p>
      <w:pPr>
        <w:pStyle w:val="FirstParagraph"/>
      </w:pPr>
      <w:r>
        <w:t xml:space="preserve">A criopreservação do sêmen equino representa um dos maiores desafios da biotecnologia reprodutiva nesta espécie. Apesar de décadas de otimização de protocolos, as taxas de viabilidade pós-descongelamento permanecem significativamente inferiores às observadas em outras espécies domésticas, comprometendo a eficiência reprodutiva em garanhões de alto valor genético.</w:t>
      </w:r>
    </w:p>
    <w:p>
      <w:pPr>
        <w:pStyle w:val="BodyText"/>
      </w:pPr>
      <w:r>
        <w:t xml:space="preserve">Historicamente, os danos gerados pelo processo de congelação-descongelação foram atribuídos genericamente ao</w:t>
      </w:r>
      <w:r>
        <w:t xml:space="preserve"> </w:t>
      </w:r>
      <w:r>
        <w:t xml:space="preserve">‘estresse oxidativo’</w:t>
      </w:r>
      <w:r>
        <w:t xml:space="preserve">, sendo justificativa para a adição de antioxidantes clássicos como BHT, vitamina E, quercetina e selênio aos diluentes. Entretanto, esta abordagem genérica pode ter negligenciado o mecanismo molecular específico de morte celular envolvido.</w:t>
      </w:r>
    </w:p>
    <w:p>
      <w:pPr>
        <w:pStyle w:val="BodyText"/>
      </w:pPr>
      <w:r>
        <w:t xml:space="preserve">Em 2024, Martín-Cano et al. publicaram evidências de que espermatozoides equinos submetidos a condições de estresse (glicose suprafisiológica) morrem por ferroptose - uma forma distinta de morte celular programada, dependente de ferro, mediada por peroxidação lipídica de ácidos graxos poli-insaturados (PUFAs) das membranas, demonstrando que concentrações suprafisiológicas de glicose aumentam a susceptibilidade dos espermatozoides equinos à ferroptose, com alterações em proteínas mitocondriais — notadamente oxoglutarato desidrogenase e SOD2 — sob indução ferroptótica (MARTÍN-CANO et al., 2024). Crucialmente, a ferroptose é independente de caspases, sendo mecanisticamente distinta da apoptose clássica.</w:t>
      </w:r>
    </w:p>
    <w:p>
      <w:pPr>
        <w:pStyle w:val="BodyText"/>
      </w:pPr>
      <w:r>
        <w:t xml:space="preserve">Esta descoberta tem implicações profundas: os espermatozoides equinos são excepcionalmente ricos em PUFAs de cadeia longa (ácido docosahexaenoico - DHA, e ácido docosapentaenoico - DPA), sendo provavelmente a espécie doméstica mais vulnerável à ferroptose espermática. É importante distinguir que o DPA predominante nos espermatozoides equinos é o DPA n-6 (22:5n-6, ácido osbôndico), e não o DPA n-3 (22:5n-3). O DPA n-6, sendo substrato preferencial da ACSL4 para incorporação em fosfolipídios de membrana, torna os espermatozoides equinos particularmente vulneráveis à cascata ferroptótica mediada por ACSL4. Se o mecanismo predominante de morte celular durante a criopreservação é a ferroptose, então os antioxidantes genéricos utilizados até hoje atuam em vias subótimas, e inibidores farmacológicos específicos de ferroptose (Ferrostatina-1, Liproxstatina-1) poderiam ser substancialmente mais eficazes.</w:t>
      </w:r>
    </w:p>
    <w:p>
      <w:pPr>
        <w:pStyle w:val="BodyText"/>
      </w:pPr>
      <w:r>
        <w:t xml:space="preserve">Em suporte a esta hipótese, estudos recentes em ovinos (Hai et al., Frontiers in Veterinary Science, 2025) e em suínos durante a preservação líquida (Li et al., Frontiers in Veterinary Science, 2025) demonstraram que a adição de Ferrostatina-1 (Fer-1) e Liproxstatina-1 (Lip-1) a 2 µM melhorou significativamente motilidade total, motilidade progressiva e integridade de membranas pós-descongelamento, com Fer-1 demonstrando os maiores benefícios através da restauração da expressão de GPX4, redução de ROS e diminuição dos níveis de ferro lábil intracelular. Li et al. (Frontiers in Veterinary Science, 2025) demonstraram que Lip-1 em concentrações otimizadas reduziu marcadores ferroptóticos e melhorou parâmetros espermáticos em sêmen suíno preservado em estado líquido a 17°C — condição distinta da criopreservação, mas que demonstra a eficácia do composto em espermatozoides de mamíferos domésticos. Nenhum estudo testou estes inibidores em sêmen equino.</w:t>
      </w:r>
    </w:p>
    <w:p>
      <w:pPr>
        <w:pStyle w:val="BlockText"/>
      </w:pPr>
      <w:r>
        <w:rPr>
          <w:b/>
          <w:bCs/>
        </w:rPr>
        <w:t xml:space="preserve">NOTA CRÍTICA SOBRE AS REFERÊNCIAS ORIGINAIS DO DOCUMENTO SUBMETIDO</w:t>
      </w:r>
      <w:r>
        <w:t xml:space="preserve"> </w:t>
      </w:r>
      <w:r>
        <w:t xml:space="preserve">O documento base atribuiu dois achados ao artigo</w:t>
      </w:r>
      <w:r>
        <w:t xml:space="preserve"> </w:t>
      </w:r>
      <w:r>
        <w:t xml:space="preserve">‘Liu et al. (Cryobiology, 2025)’</w:t>
      </w:r>
      <w:r>
        <w:t xml:space="preserve"> </w:t>
      </w:r>
      <w:r>
        <w:t xml:space="preserve">referente a suínos com melhora de 25-30% na motilidade. Após rastreio bibliográfico, não foi localizado artigo com essas especificações exatas. O artigo verificado sobre suínos é: Li Y et al. (Frontiers in Veterinary Science, 2025 - Liproxstatin-1 em preservação líquida a 17°C). O artigo sobre criopreservação em ovinos (Fer-1 melhorando motilidade pós-descongelamento) é: Hai E et al. (Front Vet Sci. 2025;12:1526474). A afirmação de</w:t>
      </w:r>
      <w:r>
        <w:t xml:space="preserve"> </w:t>
      </w:r>
      <w:r>
        <w:t xml:space="preserve">‘melhora de 25-30%’</w:t>
      </w:r>
      <w:r>
        <w:t xml:space="preserve"> </w:t>
      </w:r>
      <w:r>
        <w:t xml:space="preserve">não foi confirmada nestas referências verificadas e foi suprimida. Da mesma forma,</w:t>
      </w:r>
      <w:r>
        <w:t xml:space="preserve"> </w:t>
      </w:r>
      <w:r>
        <w:t xml:space="preserve">‘Bromfield et al. (Reproduction, 2024)’</w:t>
      </w:r>
      <w:r>
        <w:t xml:space="preserve"> </w:t>
      </w:r>
      <w:r>
        <w:t xml:space="preserve">referente a espermatozoides humanos não foi localizado como artigo de 2024 - o artigo verificado de Bromfield é de 2019 (Mol Hum Reprod), sobre espermatócitos redondos, não sobre criopreservação de espermatozoides maduros. Citações corrigidas ao longo do documento. O artigo de Aitken et al. (2024) citado como</w:t>
      </w:r>
      <w:r>
        <w:t xml:space="preserve"> </w:t>
      </w:r>
      <w:r>
        <w:t xml:space="preserve">‘Free Radical Biology &amp; Medicine’</w:t>
      </w:r>
      <w:r>
        <w:t xml:space="preserve"> </w:t>
      </w:r>
      <w:r>
        <w:t xml:space="preserve">sobre ferroptose como mecanismo central foi substituído pela referência verificada: Contreras-Mellado P et al. (World J Mens Health, 2025), que documenta marcadores ferroptóticos em espermatozoides humanos expostos a ácido araquidônico.</w:t>
      </w:r>
    </w:p>
    <w:bookmarkEnd w:id="9"/>
    <w:bookmarkStart w:id="14" w:name="fundamentação-teórica"/>
    <w:p>
      <w:pPr>
        <w:pStyle w:val="Heading1"/>
      </w:pPr>
      <w:r>
        <w:t xml:space="preserve">2. FUNDAMENTAÇÃO TEÓRICA</w:t>
      </w:r>
    </w:p>
    <w:bookmarkStart w:id="10" w:name="ferroptose-mecanismo-molecular"/>
    <w:p>
      <w:pPr>
        <w:pStyle w:val="Heading2"/>
      </w:pPr>
      <w:r>
        <w:t xml:space="preserve">2.1 Ferroptose: Mecanismo Molecular</w:t>
      </w:r>
    </w:p>
    <w:p>
      <w:pPr>
        <w:pStyle w:val="FirstParagraph"/>
      </w:pPr>
      <w:r>
        <w:t xml:space="preserve">A ferroptose foi formalmente descrita por Dixon et al. em 2012 como uma forma de morte celular não-apoptótica, dependente de ferro e de peroxidação lipídica. Seu mecanismo central envolve três elementos essenciais: (1) disponibilidade de ferro redox-ativo (Fe²⁺), (2) oxidação de fosfolipídios contendo PUFAs mediada por EROs, e (3) falência dos sistemas antioxidantes celulares, especialmente o eixo GPX4/GSH/SLC7A11.</w:t>
      </w:r>
    </w:p>
    <w:p>
      <w:pPr>
        <w:pStyle w:val="BodyText"/>
      </w:pPr>
      <w:r>
        <w:t xml:space="preserve">A enzima GPX4 (glutationa peroxidase 4, também denominada fosfolipídio hidroperoxidase) é o principal supressor da ferroptose: ela reduz especificamente hidroperóxidos lipídicos incorporados em membranas utilizando glutationa (GSH) como substrato. Quando a atividade de GPX4 é insuficiente, os hidroperóxidos lipídicos se acumulam e são decompostos em aldeídos altamente tóxicos, especialmente o 4-HNE (4-hidroxinonenal) e o MDA (malondialdeído), que danificam proteínas, DNA e amplificam a cascata ferroptótica (Zhou et al., MedComm, 2024).</w:t>
      </w:r>
    </w:p>
    <w:p>
      <w:pPr>
        <w:pStyle w:val="BodyText"/>
      </w:pPr>
      <w:r>
        <w:t xml:space="preserve">A enzima ACSL4 (acil-CoA sintetase de cadeia longa família membro 4) desempenha papel oposto ao GPX4: ela catalisa a incorporação de PUFAs de cadeia longa (especialmente ácido araquidônico e ácido adrenico) em fosfolipídios de membrana, aumentando a susceptibilidade celular à ferroptose. O balanço GPX4/ACSL4 é determinante para o destino ferroptótico da célula (Moretti et al., Cells, 2024).</w:t>
      </w:r>
    </w:p>
    <w:p>
      <w:pPr>
        <w:pStyle w:val="BodyText"/>
      </w:pPr>
      <w:r>
        <w:t xml:space="preserve">O ferro intracelular catalisa a reação de Fenton (Fe²⁺ + H₂O₂ → Fe³⁺ + OH⁻ + •OH), gerando radicais hidroxil que iniciam a peroxidação lipídica não-enzimática. Adicionalmente, lipoxigenases (ALOXs) ferro-dependentes catalisam a peroxidação lipídica enzimática. A quelação de ferro lábil intracelular é portanto uma estratégia complementar de proteção.</w:t>
      </w:r>
    </w:p>
    <w:bookmarkEnd w:id="10"/>
    <w:bookmarkStart w:id="11" w:name="ferroptose-em-espermatozoides"/>
    <w:p>
      <w:pPr>
        <w:pStyle w:val="Heading2"/>
      </w:pPr>
      <w:r>
        <w:t xml:space="preserve">2.2 Ferroptose em Espermatozoides</w:t>
      </w:r>
    </w:p>
    <w:p>
      <w:pPr>
        <w:pStyle w:val="FirstParagraph"/>
      </w:pPr>
      <w:r>
        <w:t xml:space="preserve">Os espermatozoides apresentam características celulares únicas que os tornam intrinsecamente vulneráveis à ferroptose. Possuem capacidade translacional nula (não sintetizam proteínas novas), baixa densidade de enzimas antioxidantes citoplasmáticas, alto conteúdo de PUFAs em suas membranas e elevada atividade mitocondrial gerando EROs como subproduto do metabolismo energético.</w:t>
      </w:r>
    </w:p>
    <w:p>
      <w:pPr>
        <w:pStyle w:val="BodyText"/>
      </w:pPr>
      <w:r>
        <w:t xml:space="preserve">Estudos recentes documentaram marcadores de ferroptose em espermatozoides de diversas espécies: Yuan et al. (Cell Death Discovery, 2023) revisaram os papéis emergentes da ferroptose em doenças reprodutivas masculinas; Moretti et al. (Cells, 2024) identificaram elevação de ACSL4 em espermatozoides de pacientes inférteis com varicocele e infecções urogenitais, associada à ocorrência de peroxidação lipídica; Contreras-Mellado et al. (World J Mens Health, 2025) demonstraram que estresse oxidativo induzido por ácido araquidônico em espermatozoides humanos produz aumento de ferro intracelular na forma ferrosa (Fe²⁺), elevação de ACSL4, IREB2 e peroxidação lipídica, com redução de GPX4 e SLC7A11, constituindo o perfil molecular da ferroptose.</w:t>
      </w:r>
    </w:p>
    <w:p>
      <w:pPr>
        <w:pStyle w:val="BodyText"/>
      </w:pPr>
      <w:r>
        <w:t xml:space="preserve">Evidências recentes reforçam a relevância da ferroptose na criopreservação de sêmen. Wang et al. (Cell Death Discovery, 2024;10:239) publicaram a primeira revisão conectando formalmente a morte celular regulada — incluindo ferroptose, necroptose e piroptose — com os danos da criopreservação espermática, propondo que a identificação dos mecanismos específicos de morte celular é pré-requisito para o desenvolvimento de estratégias protetoras racionais. Em caprinos, Hai et al. (Journal of Animal Science and Biotechnology, 2025;16:26) demonstraram que a ferroptose é a forma predominante de morte celular regulada durante a criopreservação, com aumento de liso-fosfolipídios e eficácia superior dos inibidores de ferroptose (Fer-1 e Lip-1) sobre o inibidor de apoptose Z-VAD-FMK na preservação da motilidade e integridade de membrana. Adicionalmente, o mesmo grupo (Hai et al., Veterinary Sciences, 2025;12(5):490) revelou que a degradação de GPX4 durante a criopreservação de sêmen ovino é mediada por autofagia — não por ubiquitinação —, e que o inibidor de autofagia cloroquina (CQ) atenua a ferroptose, abrindo perspectiva de intervenção combinada (inibidor de ferroptose + inibidor de autofagia).</w:t>
      </w:r>
    </w:p>
    <w:p>
      <w:pPr>
        <w:pStyle w:val="BodyText"/>
      </w:pPr>
      <w:r>
        <w:t xml:space="preserve">Em relação à caspase-independência da ferroptose em espermatozoides: enquanto os estudos em ovinos (Hai et al., 2025) detectaram elevação concomitante de Cleaved-caspase3 (marcador apoptótico) e TFRC (marcador ferroptótico) pós-criopreservação, sugerindo coexistência de apoptose e ferroptose, nos experimentos com inibidores os inibidores de ferroptose (Fer-1 e Lip-1) foram mais eficazes que o inibidor de apoptose Z-VAD na melhora de motilidade e integridade de membrana, indicando que a ferroptose é o mecanismo predominante de morte neste contexto.</w:t>
      </w:r>
    </w:p>
    <w:bookmarkEnd w:id="11"/>
    <w:bookmarkStart w:id="12" w:name="Xd907d9b5e88ef91917d7fbda6f1987e41e56a43"/>
    <w:p>
      <w:pPr>
        <w:pStyle w:val="Heading2"/>
      </w:pPr>
      <w:r>
        <w:t xml:space="preserve">2.3 Composição Lipídica do Espermatozoide Equino e Susceptibilidade à Ferroptose</w:t>
      </w:r>
    </w:p>
    <w:p>
      <w:pPr>
        <w:pStyle w:val="FirstParagraph"/>
      </w:pPr>
      <w:r>
        <w:t xml:space="preserve">Os espermatozoides equinos apresentam composição lipídica distinta dos demais mamíferos domésticos. Enquanto na maioria das espécies o DHA (ácido docosaexaenoico, 22:6n-3) é o PUFA predominante, nos equinos o DPA (ácido docosapentaenoico, 22:5n-6) compete em concentração com DHA e araquidônico (Macías García et al., Reproduction in Domestic Animals, 2011). A composição lipídica equina inclui altos níveis de DHA e DPA, PUFAs de 22 carbonos extremamente susceptíveis à peroxidação, conforme revisado por Bazzano et al. (2021) e originalmente demonstrado no estudo lipidômico de Macías García et al. (2011).</w:t>
      </w:r>
    </w:p>
    <w:p>
      <w:pPr>
        <w:pStyle w:val="BodyText"/>
      </w:pPr>
      <w:r>
        <w:t xml:space="preserve">Esta abundância de PUFAs de cadeia muito longa confere alta fluidez às membranas espermáticas equinas - essencial para eventos de fertilização - mas torna estes espermatozoides excepcionalmente vulneráveis a danos peroxidativos. A presença de DHA na membrana é considerada um substrato ideal para a cascata ferroptótica, sendo que altas concentrações de PUFAs, embora positivamente correlacionadas com qualidade espermática (Macías García et al., 2011), aumentam simultaneamente a susceptibilidade à peroxidação lipídica ferro-dependente.</w:t>
      </w:r>
    </w:p>
    <w:p>
      <w:pPr>
        <w:pStyle w:val="BodyText"/>
      </w:pPr>
      <w:r>
        <w:t xml:space="preserve">O artigo de Peña et al. (Antioxidants, 2019) documentou o 4-HNE como produto prevalente de peroxidação lipídica nos espermatozoides equinos, e o trabalho subsequente de Martín-Cano et al. (Reproduction, 2024) demonstrou que condições de estresse (glicose suprafisiológica) são suficientes para induzir o fenótipo ferroptótico nestes espermatozoides, com depleção de GPX4 e acúmulo de marcadores de peroxidação lipídica.</w:t>
      </w:r>
    </w:p>
    <w:bookmarkEnd w:id="12"/>
    <w:bookmarkStart w:id="13" w:name="inibidores-farmacológicos-de-ferroptose"/>
    <w:p>
      <w:pPr>
        <w:pStyle w:val="Heading2"/>
      </w:pPr>
      <w:r>
        <w:t xml:space="preserve">2.4 Inibidores Farmacológicos de Ferroptose</w:t>
      </w:r>
    </w:p>
    <w:p>
      <w:pPr>
        <w:pStyle w:val="FirstParagraph"/>
      </w:pPr>
      <w:r>
        <w:t xml:space="preserve">A Ferrostatina-1 (Fer-1; etil 3-amino-4-(ciclohexylamino)benzoato) é um inibidor potente de ferroptose (IC50 = 60 nM), atuando como antioxidante radical-trapping que intercepta radicais peroxil, interrompendo a propagação da peroxidação lipídica em cadeia. Não atua como quelante de ferro nem como ativador de GPX4, mas sim como um antioxidante lipofílico altamente específico para a fase de propagação da ferroptose.</w:t>
      </w:r>
    </w:p>
    <w:p>
      <w:pPr>
        <w:pStyle w:val="BodyText"/>
      </w:pPr>
      <w:r>
        <w:t xml:space="preserve">A Liproxstatina-1 (Lip-1; IC50 = 22 nM) é um inibidor ainda mais potente que a Fer-1, atuando por mecanismo similar de radical-trapping lipofílico. Zilka et al. (ACS Central Science, 2017) demonstraram que tanto Fer-1 quanto Lip-1 atuam como antioxidantes cineticamente controlados, suprimindo a peroxidação lipídica em membranas.</w:t>
      </w:r>
    </w:p>
    <w:p>
      <w:pPr>
        <w:pStyle w:val="BodyText"/>
      </w:pPr>
      <w:r>
        <w:t xml:space="preserve">Em criopreservação de sêmen de ovinos, Hai et al. (Front Vet Sci, 2025) obtiveram os melhores resultados com 2 µM de Fer-1, com restauração da expressão de GPX4, redução de ROS, diminuição de ferro lábil intracelular (Fe²⁺) e melhora de motilidade total e progressiva, integridade de membrana e acrossomo. Para suínos em preservação líquida a 17°C, Li et al. (Front Vet Sci, 2025) demonstraram que Lip-1 em concentrações otimizadas reduziu marcadores ferroptóticos e melhorou parâmetros espermáticos em sêmen suíno preservado em estado líquido a 17°C — condição distinta da criopreservação, mas que demonstra a eficácia do composto em espermatozoides de mamíferos domésticos. Nenhum estudo testou estes compostos em sêmen equino.</w:t>
      </w:r>
    </w:p>
    <w:bookmarkEnd w:id="13"/>
    <w:bookmarkEnd w:id="14"/>
    <w:bookmarkStart w:id="15" w:name="hipótese"/>
    <w:p>
      <w:pPr>
        <w:pStyle w:val="Heading1"/>
      </w:pPr>
      <w:r>
        <w:t xml:space="preserve">3. HIPÓTESE</w:t>
      </w:r>
    </w:p>
    <w:p>
      <w:pPr>
        <w:pStyle w:val="FirstParagraph"/>
      </w:pPr>
      <w:r>
        <w:t xml:space="preserve">A ferroptose é um mecanismo relevante de morte celular durante a criopreservação de sêmen equino. A adição de inibidores farmacológicos específicos de ferroptose (Ferrostatina-1 e/ou Liproxstatina-1) ao diluente BotuCrio® melhorará a viabilidade espermática pós-descongelamento em comparação ao protocolo-padrão. Adicionalmente, existe um ponto temporal específico durante o processamento criogênico no qual a cascata ferroptótica é ativada de forma irreversível.</w:t>
      </w:r>
    </w:p>
    <w:bookmarkEnd w:id="15"/>
    <w:bookmarkStart w:id="18" w:name="objetivos"/>
    <w:p>
      <w:pPr>
        <w:pStyle w:val="Heading1"/>
      </w:pPr>
      <w:r>
        <w:t xml:space="preserve">4. OBJETIVOS</w:t>
      </w:r>
    </w:p>
    <w:bookmarkStart w:id="16" w:name="objetivo-geral"/>
    <w:p>
      <w:pPr>
        <w:pStyle w:val="Heading2"/>
      </w:pPr>
      <w:r>
        <w:t xml:space="preserve">4.1 Objetivo Geral</w:t>
      </w:r>
    </w:p>
    <w:p>
      <w:pPr>
        <w:pStyle w:val="FirstParagraph"/>
      </w:pPr>
      <w:r>
        <w:t xml:space="preserve">Investigar o papel da ferroptose na morte espermática durante a criopreservação de sêmen equino e avaliar o potencial de inibidores farmacológicos específicos de ferroptose como novos aditivos crioprotetores.</w:t>
      </w:r>
    </w:p>
    <w:bookmarkEnd w:id="16"/>
    <w:bookmarkStart w:id="17" w:name="objetivos-específicos"/>
    <w:p>
      <w:pPr>
        <w:pStyle w:val="Heading2"/>
      </w:pPr>
      <w:r>
        <w:t xml:space="preserve">4.2 Objetivos Específicos</w:t>
      </w:r>
    </w:p>
    <w:p>
      <w:pPr>
        <w:pStyle w:val="Compact"/>
        <w:numPr>
          <w:ilvl w:val="0"/>
          <w:numId w:val="1001"/>
        </w:numPr>
      </w:pPr>
      <w:r>
        <w:t xml:space="preserve">Determinar a ocorrência e magnitude de marcadores ferroptóticos (GPX4, ACSL4, 4-HNE, C11-BODIPY, ferro lábil) em espermatozoides equinos após descongelamento (Experimento 1 e 2).</w:t>
      </w:r>
    </w:p>
    <w:p>
      <w:pPr>
        <w:pStyle w:val="Compact"/>
        <w:numPr>
          <w:ilvl w:val="0"/>
          <w:numId w:val="1001"/>
        </w:numPr>
      </w:pPr>
      <w:r>
        <w:t xml:space="preserve">Avaliar o efeito dose-resposta de Ferrostatina-1 (Fer-1; 1 µM, 2 µM e 5 µM) e Liproxstatina-1 (Lip-1; 1 µM, 2 µM e 5 µM) adicionados ao BotuCrio® sobre parâmetros de qualidade espermática pós-descongelamento (Experimento 1).</w:t>
      </w:r>
    </w:p>
    <w:p>
      <w:pPr>
        <w:pStyle w:val="Compact"/>
        <w:numPr>
          <w:ilvl w:val="0"/>
          <w:numId w:val="1001"/>
        </w:numPr>
      </w:pPr>
      <w:r>
        <w:t xml:space="preserve">Comparar a eficácia dos inibidores de ferroptose com antioxidante genérico (BHT) e inibidor de apoptose (Z-VAD-FMK) para determinar a contribuição específica da ferroptose no criodano espermático equino (Experimento 1).</w:t>
      </w:r>
    </w:p>
    <w:p>
      <w:pPr>
        <w:pStyle w:val="Compact"/>
        <w:numPr>
          <w:ilvl w:val="0"/>
          <w:numId w:val="1001"/>
        </w:numPr>
      </w:pPr>
      <w:r>
        <w:t xml:space="preserve">Mapear a cinética temporal de ativação da cascata ferroptótica em 7 pontos durante o processamento criogênico, identificando o ponto de ativação irreversível (Experimento 2).</w:t>
      </w:r>
    </w:p>
    <w:p>
      <w:pPr>
        <w:pStyle w:val="Compact"/>
        <w:numPr>
          <w:ilvl w:val="0"/>
          <w:numId w:val="1001"/>
        </w:numPr>
      </w:pPr>
      <w:r>
        <w:t xml:space="preserve">Caso o Experimento 1 identifique tratamento com resultados superiores, validar in vivo em protocolo de inseminação artificial (Experimento 3 - condicional).</w:t>
      </w:r>
    </w:p>
    <w:bookmarkEnd w:id="17"/>
    <w:bookmarkEnd w:id="18"/>
    <w:bookmarkStart w:id="30" w:name="material-e-métodos"/>
    <w:p>
      <w:pPr>
        <w:pStyle w:val="Heading1"/>
      </w:pPr>
      <w:r>
        <w:t xml:space="preserve">5. MATERIAL E MÉTODOS</w:t>
      </w:r>
    </w:p>
    <w:bookmarkStart w:id="24" w:name="Xc770be3b37fb2794f8d0cedcb6ec87b1b81b3cc"/>
    <w:p>
      <w:pPr>
        <w:pStyle w:val="Heading2"/>
      </w:pPr>
      <w:r>
        <w:t xml:space="preserve">5.1 Experimento 1 - Inibidores de Ferroptose como Aditivos Crioprotetores</w:t>
      </w:r>
    </w:p>
    <w:bookmarkStart w:id="19" w:name="animais"/>
    <w:p>
      <w:pPr>
        <w:pStyle w:val="Heading3"/>
      </w:pPr>
      <w:r>
        <w:t xml:space="preserve">5.1.1 Animais</w:t>
      </w:r>
    </w:p>
    <w:p>
      <w:pPr>
        <w:pStyle w:val="FirstParagraph"/>
      </w:pPr>
      <w:r>
        <w:t xml:space="preserve">Serão utilizados 12 garanhões de diferentes raças, distribuídos em três grupos de criopreservabilidade previamente avaliada: 4 bons congeladores, 4 congeladores intermediários e 4 maus congeladores, com base em motilidade pós-descongelamento ≥50%, 30-49% e &lt;30%, respectivamente. Os animais pertencem ao plantel do CERAN ou a propriedades parceiras mediante convênio. O protocolo será submetido à aprovação da CEUA/UNESP Botucatu previamente ao início das coletas.</w:t>
      </w:r>
    </w:p>
    <w:bookmarkEnd w:id="19"/>
    <w:bookmarkStart w:id="20" w:name="delineamento-experimental"/>
    <w:p>
      <w:pPr>
        <w:pStyle w:val="Heading3"/>
      </w:pPr>
      <w:r>
        <w:t xml:space="preserve">5.1.2 Delineamento Experimental</w:t>
      </w:r>
    </w:p>
    <w:p>
      <w:pPr>
        <w:pStyle w:val="FirstParagraph"/>
      </w:pPr>
      <w:r>
        <w:t xml:space="preserve">Split-sample: cada ejaculado será dividido em 9 alíquotas iguais após filtragem e avaliação inicial. Os grupos experimentais serão:</w:t>
      </w:r>
    </w:p>
    <w:p>
      <w:pPr>
        <w:pStyle w:val="Compact"/>
        <w:numPr>
          <w:ilvl w:val="0"/>
          <w:numId w:val="1002"/>
        </w:numPr>
      </w:pPr>
      <w:r>
        <w:t xml:space="preserve">G1 (Controle): BotuCrio® padrão + DMSO veículo (≤ 0,1%)</w:t>
      </w:r>
    </w:p>
    <w:p>
      <w:pPr>
        <w:pStyle w:val="Compact"/>
        <w:numPr>
          <w:ilvl w:val="0"/>
          <w:numId w:val="1002"/>
        </w:numPr>
      </w:pPr>
      <w:r>
        <w:t xml:space="preserve">G2: BotuCrio® + Ferrostatina-1 1 µM</w:t>
      </w:r>
    </w:p>
    <w:p>
      <w:pPr>
        <w:pStyle w:val="Compact"/>
        <w:numPr>
          <w:ilvl w:val="0"/>
          <w:numId w:val="1002"/>
        </w:numPr>
      </w:pPr>
      <w:r>
        <w:t xml:space="preserve">G3: BotuCrio® + Ferrostatina-1 2 µM</w:t>
      </w:r>
    </w:p>
    <w:p>
      <w:pPr>
        <w:pStyle w:val="Compact"/>
        <w:numPr>
          <w:ilvl w:val="0"/>
          <w:numId w:val="1002"/>
        </w:numPr>
      </w:pPr>
      <w:r>
        <w:t xml:space="preserve">G4: BotuCrio® + Ferrostatina-1 5 µM</w:t>
      </w:r>
    </w:p>
    <w:p>
      <w:pPr>
        <w:pStyle w:val="Compact"/>
        <w:numPr>
          <w:ilvl w:val="0"/>
          <w:numId w:val="1002"/>
        </w:numPr>
      </w:pPr>
      <w:r>
        <w:t xml:space="preserve">G5: BotuCrio® + Liproxstatina-1 1 µM</w:t>
      </w:r>
    </w:p>
    <w:p>
      <w:pPr>
        <w:pStyle w:val="Compact"/>
        <w:numPr>
          <w:ilvl w:val="0"/>
          <w:numId w:val="1002"/>
        </w:numPr>
      </w:pPr>
      <w:r>
        <w:t xml:space="preserve">G6: BotuCrio® + Liproxstatina-1 2 µM</w:t>
      </w:r>
    </w:p>
    <w:p>
      <w:pPr>
        <w:pStyle w:val="Compact"/>
        <w:numPr>
          <w:ilvl w:val="0"/>
          <w:numId w:val="1002"/>
        </w:numPr>
      </w:pPr>
      <w:r>
        <w:t xml:space="preserve">G7: BotuCrio® + Liproxstatina-1 5 µM</w:t>
      </w:r>
    </w:p>
    <w:p>
      <w:pPr>
        <w:pStyle w:val="Compact"/>
        <w:numPr>
          <w:ilvl w:val="0"/>
          <w:numId w:val="1002"/>
        </w:numPr>
      </w:pPr>
      <w:r>
        <w:t xml:space="preserve">G8 (Controle antioxidante genérico): BotuCrio® + BHT 1 mM — antioxidante lipofílico convencional utilizado em criopreservação equina, incluído para distinguir efeito ferroptose-específico de atividade antioxidante genérica, uma vez que Fer-1 e Lip-1 também atuam como radical-trapping agents lipofílicos (ZILKA et al., 2017).</w:t>
      </w:r>
    </w:p>
    <w:p>
      <w:pPr>
        <w:pStyle w:val="Compact"/>
        <w:numPr>
          <w:ilvl w:val="0"/>
          <w:numId w:val="1002"/>
        </w:numPr>
      </w:pPr>
      <w:r>
        <w:t xml:space="preserve">G9 (Controle anti-apoptótico): BotuCrio® + Z-VAD-FMK 50 µM — inibidor pan-caspase, incluído para distinguir a contribuição relativa de ferroptose versus apoptose no criodano espermático equino, conforme desenho experimental de Hai et al. (2025).</w:t>
      </w:r>
    </w:p>
    <w:p>
      <w:pPr>
        <w:pStyle w:val="FirstParagraph"/>
      </w:pPr>
      <w:r>
        <w:t xml:space="preserve">A inclusão da dose de 2 µM é fundamentada nos resultados de Hai et al. (2025, ovinos), que identificaram esta concentração como ótima para Fer-1 em criopreservação de sêmen.</w:t>
      </w:r>
    </w:p>
    <w:p>
      <w:pPr>
        <w:pStyle w:val="BodyText"/>
      </w:pPr>
      <w:r>
        <w:t xml:space="preserve">Tanto Fer-1 quanto Lip-1 serão dissolvidos em DMSO e adicionados ao diluente final (concentração de DMSO veículo ≤0,1% em todos os grupos, adicionada ao controle para equilíbrio).</w:t>
      </w:r>
    </w:p>
    <w:p>
      <w:pPr>
        <w:pStyle w:val="BodyText"/>
      </w:pPr>
      <w:r>
        <w:t xml:space="preserve">Protocolo de congelação: o ejaculado filtrado será centrifugado a 600 × g por 10 minutos. O pellet será ressuspendido em BotuCrio® à concentração final de 200 × 10⁶ espermatozoides/mL. Os inibidores de ferroptose, antioxidante (BHT) e inibidor de apoptose (Z-VAD-FMK), dissolvidos em DMSO, serão adicionados ao diluente de congelação imediatamente após a ressuspensão do pellet, antes do envase. DMSO veículo será adicionado a todos os grupos na mesma concentração final (≤ 0,1%). Após equilíbrio de 10 minutos a 5°C, as amostras serão envasadas em palhetas de 0,5 mL e congeladas em vapor de nitrogênio líquido (rack posicionado a 6 cm acima do nível de N₂ por 20 minutos, taxa aproximada de −20°C/min até −100°C). As palhetas serão mergulhadas em N₂ líquido e armazenadas até descongelação a 37°C por 30 segundos.</w:t>
      </w:r>
    </w:p>
    <w:bookmarkEnd w:id="20"/>
    <w:bookmarkStart w:id="21" w:name="parâmetros-avaliados"/>
    <w:p>
      <w:pPr>
        <w:pStyle w:val="Heading3"/>
      </w:pPr>
      <w:r>
        <w:t xml:space="preserve">5.1.3 Parâmetros Avaliados</w:t>
      </w:r>
    </w:p>
    <w:p>
      <w:pPr>
        <w:pStyle w:val="FirstParagraph"/>
      </w:pPr>
      <w:r>
        <w:rPr>
          <w:b/>
          <w:bCs/>
        </w:rPr>
        <w:t xml:space="preserve">Painel Ferroptose-Específico:</w:t>
      </w:r>
    </w:p>
    <w:p>
      <w:pPr>
        <w:pStyle w:val="Compact"/>
        <w:numPr>
          <w:ilvl w:val="0"/>
          <w:numId w:val="1003"/>
        </w:numPr>
      </w:pPr>
      <w:r>
        <w:t xml:space="preserve">GPX4: imunofluorescência por citometria de fluxo (anticorpo primário anti-GPX4, secundário FITC-conjugado)</w:t>
      </w:r>
    </w:p>
    <w:p>
      <w:pPr>
        <w:pStyle w:val="Compact"/>
        <w:numPr>
          <w:ilvl w:val="0"/>
          <w:numId w:val="1003"/>
        </w:numPr>
      </w:pPr>
      <w:r>
        <w:t xml:space="preserve">4-HNE: anticorpo anti-4-HNE-FITC por citometria de fluxo (produto de peroxidação lipídica)</w:t>
      </w:r>
    </w:p>
    <w:p>
      <w:pPr>
        <w:pStyle w:val="Compact"/>
        <w:numPr>
          <w:ilvl w:val="0"/>
          <w:numId w:val="1003"/>
        </w:numPr>
      </w:pPr>
      <w:r>
        <w:t xml:space="preserve">C11-BODIPY 581/591: sonda fluorescente para peroxidação lipídica in situ por citometria de fluxo (BODIPY oxidado 510/green vs. BODIPY reduzido 590/red)</w:t>
      </w:r>
    </w:p>
    <w:p>
      <w:pPr>
        <w:pStyle w:val="Compact"/>
        <w:numPr>
          <w:ilvl w:val="0"/>
          <w:numId w:val="1003"/>
        </w:numPr>
      </w:pPr>
      <w:r>
        <w:t xml:space="preserve">Ferro lábil intracelular: quenching de fluorescência de Calceína-AM por Fe²⁺. Alternativamente, FerroOrange (Dojindo, 1 µM, 30 min, 37°C) poderá ser utilizado como sonda complementar para Fe²⁺ intracelular, com maior especificidade que a calceína-AM e compatibilidade com citometria de fluxo, conforme utilizado por Hai et al. (2025).</w:t>
      </w:r>
    </w:p>
    <w:p>
      <w:pPr>
        <w:pStyle w:val="Compact"/>
        <w:numPr>
          <w:ilvl w:val="0"/>
          <w:numId w:val="1003"/>
        </w:numPr>
      </w:pPr>
      <w:r>
        <w:t xml:space="preserve">ACSL4: imunofluorescência por citometria de fluxo (anticorpo primário anti-ACSL4, secundário Alexa Fluor 647-conjugado) — enzima que catalisa a incorporação de PUFAs em fosfolipídios de membrana, aumentando a susceptibilidade à ferroptose. O balanço GPX4/ACSL4 é determinante para o destino ferroptótico da célula (MORETTI et al., 2024).</w:t>
      </w:r>
    </w:p>
    <w:p>
      <w:pPr>
        <w:pStyle w:val="FirstParagraph"/>
      </w:pPr>
      <w:r>
        <w:rPr>
          <w:b/>
          <w:bCs/>
        </w:rPr>
        <w:t xml:space="preserve">Painel Convencional:</w:t>
      </w:r>
    </w:p>
    <w:p>
      <w:pPr>
        <w:pStyle w:val="Compact"/>
        <w:numPr>
          <w:ilvl w:val="0"/>
          <w:numId w:val="1004"/>
        </w:numPr>
      </w:pPr>
      <w:r>
        <w:t xml:space="preserve">CASA: motilidade total (MT), motilidade progressiva (MP), VAP, VSL, VCL, LIN, STR</w:t>
      </w:r>
    </w:p>
    <w:p>
      <w:pPr>
        <w:pStyle w:val="Compact"/>
        <w:numPr>
          <w:ilvl w:val="0"/>
          <w:numId w:val="1004"/>
        </w:numPr>
      </w:pPr>
      <w:r>
        <w:t xml:space="preserve">Integridade de membrana: CFDA/PI (citometria de fluxo)</w:t>
      </w:r>
    </w:p>
    <w:p>
      <w:pPr>
        <w:pStyle w:val="Compact"/>
        <w:numPr>
          <w:ilvl w:val="0"/>
          <w:numId w:val="1004"/>
        </w:numPr>
      </w:pPr>
      <w:r>
        <w:t xml:space="preserve">Potencial de membrana mitocondrial: JC-1 (citometria de fluxo)</w:t>
      </w:r>
    </w:p>
    <w:p>
      <w:pPr>
        <w:pStyle w:val="Compact"/>
        <w:numPr>
          <w:ilvl w:val="0"/>
          <w:numId w:val="1004"/>
        </w:numPr>
      </w:pPr>
      <w:r>
        <w:t xml:space="preserve">Fragmentação de DNA: SCSA (Sperm Chromatin Structure Assay)</w:t>
      </w:r>
    </w:p>
    <w:p>
      <w:pPr>
        <w:pStyle w:val="Compact"/>
        <w:numPr>
          <w:ilvl w:val="0"/>
          <w:numId w:val="1004"/>
        </w:numPr>
      </w:pPr>
      <w:r>
        <w:t xml:space="preserve">Produção de ROS total: CellROX Deep Red (5 µM, 30 min, 37°C) — para contextualizar a contribuição ferroptótica dentro do estresse oxidativo global.</w:t>
      </w:r>
    </w:p>
    <w:p>
      <w:pPr>
        <w:pStyle w:val="FirstParagraph"/>
      </w:pPr>
      <w:r>
        <w:t xml:space="preserve">Avaliações em T0 (imediatamente após descongelamento) e T30 (30 minutos pós-descongelamento a 37°C).</w:t>
      </w:r>
    </w:p>
    <w:bookmarkEnd w:id="21"/>
    <w:bookmarkStart w:id="22" w:name="validação-de-anticorpos"/>
    <w:p>
      <w:pPr>
        <w:pStyle w:val="Heading3"/>
      </w:pPr>
      <w:r>
        <w:t xml:space="preserve">5.1.4 Validação de Anticorpos</w:t>
      </w:r>
    </w:p>
    <w:p>
      <w:pPr>
        <w:pStyle w:val="FirstParagraph"/>
      </w:pPr>
      <w:r>
        <w:t xml:space="preserve">Antes do início das coletas experimentais, os anticorpos anti-GPX4 e anti-4-HNE serão titulados em espermatozoides equinos frescos e criopreservados, com controle positivo (homogenato de testículo equino para GPX4; espermatozoides tratados com FeSO₄ 100 µM + H₂O₂ 200 µM por 1 hora para 4-HNE) e controle negativo (anticorpo secundário sem primário). A validação do anti-ACSL4 seguirá o mesmo protocolo.</w:t>
      </w:r>
    </w:p>
    <w:bookmarkEnd w:id="22"/>
    <w:bookmarkStart w:id="23" w:name="western-blot-complementar"/>
    <w:p>
      <w:pPr>
        <w:pStyle w:val="Heading3"/>
      </w:pPr>
      <w:r>
        <w:t xml:space="preserve">5.1.5 Western Blot Complementar</w:t>
      </w:r>
    </w:p>
    <w:p>
      <w:pPr>
        <w:pStyle w:val="FirstParagraph"/>
      </w:pPr>
      <w:r>
        <w:t xml:space="preserve">GPX4 e ACSL4 serão também quantificados por Western Blot em amostras selecionadas (pools de 3 garanhões por grupo, controle vs. melhor tratamento, nos tempos T0 e T5 do Experimento 2), para confirmação semi-quantitativa dos dados de citometria e comparabilidade com a literatura (Hai et al., 2025).</w:t>
      </w:r>
    </w:p>
    <w:bookmarkEnd w:id="23"/>
    <w:bookmarkEnd w:id="24"/>
    <w:bookmarkStart w:id="27" w:name="X37c2cb654fd462566b111b1e128cbac6c696c2f"/>
    <w:p>
      <w:pPr>
        <w:pStyle w:val="Heading2"/>
      </w:pPr>
      <w:r>
        <w:t xml:space="preserve">5.2 Experimento 2 - Cinética Temporal da Ferroptose durante o Processamento Criogênico</w:t>
      </w:r>
    </w:p>
    <w:bookmarkStart w:id="25" w:name="animais-e-delineamento"/>
    <w:p>
      <w:pPr>
        <w:pStyle w:val="Heading3"/>
      </w:pPr>
      <w:r>
        <w:t xml:space="preserve">5.2.1 Animais e Delineamento</w:t>
      </w:r>
    </w:p>
    <w:p>
      <w:pPr>
        <w:pStyle w:val="FirstParagraph"/>
      </w:pPr>
      <w:r>
        <w:t xml:space="preserve">12 garanhões (mesmos do Experimento 1 ou conjunto independente conforme disponibilidade). Coletas split-sample avaliadas em 7 pontos temporais durante o processamento:</w:t>
      </w:r>
    </w:p>
    <w:p>
      <w:pPr>
        <w:pStyle w:val="Compact"/>
        <w:numPr>
          <w:ilvl w:val="0"/>
          <w:numId w:val="1005"/>
        </w:numPr>
      </w:pPr>
      <w:r>
        <w:t xml:space="preserve">T0: Sêmen fresco imediatamente após diluição em BotuCrio® (temperatura ambiente, 22°C)</w:t>
      </w:r>
    </w:p>
    <w:p>
      <w:pPr>
        <w:pStyle w:val="Compact"/>
        <w:numPr>
          <w:ilvl w:val="0"/>
          <w:numId w:val="1005"/>
        </w:numPr>
      </w:pPr>
      <w:r>
        <w:t xml:space="preserve">T1: Após 30 minutos a 22°C (período de equilíbrio inicial)</w:t>
      </w:r>
    </w:p>
    <w:p>
      <w:pPr>
        <w:pStyle w:val="Compact"/>
        <w:numPr>
          <w:ilvl w:val="0"/>
          <w:numId w:val="1005"/>
        </w:numPr>
      </w:pPr>
      <w:r>
        <w:t xml:space="preserve">T2: Após resfriamento até 5°C (aproximadamente 60 minutos)</w:t>
      </w:r>
    </w:p>
    <w:p>
      <w:pPr>
        <w:pStyle w:val="Compact"/>
        <w:numPr>
          <w:ilvl w:val="0"/>
          <w:numId w:val="1005"/>
        </w:numPr>
      </w:pPr>
      <w:r>
        <w:t xml:space="preserve">T3: Após 2 horas a 5°C</w:t>
      </w:r>
    </w:p>
    <w:p>
      <w:pPr>
        <w:pStyle w:val="Compact"/>
        <w:numPr>
          <w:ilvl w:val="0"/>
          <w:numId w:val="1005"/>
        </w:numPr>
      </w:pPr>
      <w:r>
        <w:t xml:space="preserve">T4: Após 24 horas a 5°C (ponto máximo de refrigeração)</w:t>
      </w:r>
    </w:p>
    <w:p>
      <w:pPr>
        <w:pStyle w:val="Compact"/>
        <w:numPr>
          <w:ilvl w:val="0"/>
          <w:numId w:val="1005"/>
        </w:numPr>
      </w:pPr>
      <w:r>
        <w:t xml:space="preserve">T5: Imediatamente após descongelamento (pós-congelação)</w:t>
      </w:r>
    </w:p>
    <w:p>
      <w:pPr>
        <w:pStyle w:val="Compact"/>
        <w:numPr>
          <w:ilvl w:val="0"/>
          <w:numId w:val="1005"/>
        </w:numPr>
      </w:pPr>
      <w:r>
        <w:t xml:space="preserve">T6: 30 minutos após descongelamento a 37°C</w:t>
      </w:r>
    </w:p>
    <w:p>
      <w:pPr>
        <w:pStyle w:val="FirstParagraph"/>
      </w:pPr>
      <w:r>
        <w:t xml:space="preserve">Em cada ponto temporal: coleta da alíquota correspondente e análise imediata do painel completo (GPX4, ACSL4, 4-HNE, C11-BODIPY, ferro lábil, CASA, CFDA/PI, JC-1, CellROX Deep Red).</w:t>
      </w:r>
    </w:p>
    <w:p>
      <w:pPr>
        <w:pStyle w:val="BodyText"/>
      </w:pPr>
      <w:r>
        <w:t xml:space="preserve">Adicionalmente, um subgrupo de 6 garanhões terá suas amostras divididas em duas frações paralelas: uma sem inibidor (protocolo padrão, para mapeamento da cinética basal de ferroptose) e outra com Fer-1 na melhor concentração identificada no Experimento 1 (ou 2 µM como default). A comparação entre as curvas com e sem inibidor permitirá identificar a janela temporal de intervenção eficaz — ou seja, até qual ponto do processamento a adição do inibidor ainda é capaz de prevenir a cascata ferroptótica.</w:t>
      </w:r>
    </w:p>
    <w:bookmarkEnd w:id="25"/>
    <w:bookmarkStart w:id="26" w:name="análise"/>
    <w:p>
      <w:pPr>
        <w:pStyle w:val="Heading3"/>
      </w:pPr>
      <w:r>
        <w:t xml:space="preserve">5.2.2 Análise</w:t>
      </w:r>
    </w:p>
    <w:p>
      <w:pPr>
        <w:pStyle w:val="FirstParagraph"/>
      </w:pPr>
      <w:r>
        <w:t xml:space="preserve">Serão geradas curvas de ativação temporal para cada marcador ferroptótico. O</w:t>
      </w:r>
      <w:r>
        <w:t xml:space="preserve"> </w:t>
      </w:r>
      <w:r>
        <w:t xml:space="preserve">‘ponto de não-retorno’</w:t>
      </w:r>
      <w:r>
        <w:t xml:space="preserve"> </w:t>
      </w:r>
      <w:r>
        <w:t xml:space="preserve">ferroptótico será definido como o ponto temporal onde a queda de GPX4 abaixo de 50% do valor basal coincide com a elevação de 4-HNE e C11-BODIPY acima de 150% do controle. Modelos de regressão segmentada (piecewise regression) serão utilizados para identificar pontos de inflexão estatisticamente significativos.</w:t>
      </w:r>
    </w:p>
    <w:bookmarkEnd w:id="26"/>
    <w:bookmarkEnd w:id="27"/>
    <w:bookmarkStart w:id="28" w:name="X2a9e3b0db93ebf245e872244e5f7b165e5979af"/>
    <w:p>
      <w:pPr>
        <w:pStyle w:val="Heading2"/>
      </w:pPr>
      <w:r>
        <w:t xml:space="preserve">5.3 Experimento 3 - Validação in vivo (Condicional)</w:t>
      </w:r>
    </w:p>
    <w:p>
      <w:pPr>
        <w:pStyle w:val="FirstParagraph"/>
      </w:pPr>
      <w:r>
        <w:t xml:space="preserve">Será realizado exclusivamente caso o Experimento 1 identifique tratamento com motilidade pós-descongelamento ≥10% superior ao controle e pelo menos dois parâmetros do painel ferroptótico significativamente melhorados. Delineamento: 40 ciclos/grupo (melhor tratamento vs. controle BotuCrio®), inseminação artificial com sêmen congelado em éguas monitoradas por ultrassonografia, avaliação de taxa de prenhez no Dia 16-18 pós-ovulação.</w:t>
      </w:r>
    </w:p>
    <w:p>
      <w:pPr>
        <w:pStyle w:val="BodyText"/>
      </w:pPr>
      <w:r>
        <w:t xml:space="preserve">Protocolo de inseminação: dose inseminante de 800 × 10⁶ espermatozoides com motilidade progressiva, depositados na ponta do corno uterino ipsilateral ao folículo dominante, sob controle ultrassonográfico transretal. A ovulação será induzida com deslorelina (1,5 mg IM) quando folículo ≥ 35 mm for detectado. Serão utilizadas éguas com fertilidade comprovada (≥ 1 gestação prévia), ciclando regularmente, sem alterações uterinas ao exame ultrassonográfico. Diagnóstico de gestação por ultrassonografia transretal nos dias 14 e 16 pós-ovulação.</w:t>
      </w:r>
    </w:p>
    <w:bookmarkEnd w:id="28"/>
    <w:bookmarkStart w:id="29" w:name="análise-estatística"/>
    <w:p>
      <w:pPr>
        <w:pStyle w:val="Heading2"/>
      </w:pPr>
      <w:r>
        <w:t xml:space="preserve">5.4 Análise Estatística</w:t>
      </w:r>
    </w:p>
    <w:p>
      <w:pPr>
        <w:pStyle w:val="FirstParagraph"/>
      </w:pPr>
      <w:r>
        <w:t xml:space="preserve">Para os Experimentos 1 e 2: ANOVA com medidas repetidas (efeito garanhão como bloco) seguida de teste de Tukey para comparações múltiplas. Dados não-paramétricos: Friedman com Wilcoxon pareado. Para o Experimento 3: qui-quadrado para taxas de prenhez. Nível de significância: p &lt; 0,05. Software: SAS 9.4 ou R (pacotes lme4, emmeans). Tamanho amostral baseado em estudos similares (α=0,05; poder=0,80; n=12 garanhões estimados suficientes para detectar diferença de 15% em motilidade).</w:t>
      </w:r>
    </w:p>
    <w:bookmarkEnd w:id="29"/>
    <w:bookmarkEnd w:id="30"/>
    <w:bookmarkStart w:id="31" w:name="cronograma-estimado"/>
    <w:p>
      <w:pPr>
        <w:pStyle w:val="Heading1"/>
      </w:pPr>
      <w:r>
        <w:t xml:space="preserve">6. CRONOGRAMA ESTIMADO</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Período</w:t>
            </w:r>
          </w:p>
        </w:tc>
        <w:tc>
          <w:tcPr/>
          <w:p>
            <w:pPr>
              <w:pStyle w:val="Compact"/>
            </w:pPr>
            <w:r>
              <w:t xml:space="preserve">Atividade</w:t>
            </w:r>
          </w:p>
        </w:tc>
      </w:tr>
      <w:tr>
        <w:tc>
          <w:tcPr/>
          <w:p>
            <w:pPr>
              <w:pStyle w:val="Compact"/>
            </w:pPr>
            <w:r>
              <w:t xml:space="preserve">Meses 1-2</w:t>
            </w:r>
          </w:p>
        </w:tc>
        <w:tc>
          <w:tcPr/>
          <w:p>
            <w:pPr>
              <w:pStyle w:val="Compact"/>
            </w:pPr>
            <w:r>
              <w:t xml:space="preserve">Submissão ao CEUA/UNESP, compra de reagentes, treinamento em técnicas ferroptose, validação de anticorpos</w:t>
            </w:r>
          </w:p>
        </w:tc>
      </w:tr>
      <w:tr>
        <w:tc>
          <w:tcPr/>
          <w:p>
            <w:pPr>
              <w:pStyle w:val="Compact"/>
            </w:pPr>
            <w:r>
              <w:t xml:space="preserve">Meses 3-6</w:t>
            </w:r>
          </w:p>
        </w:tc>
        <w:tc>
          <w:tcPr/>
          <w:p>
            <w:pPr>
              <w:pStyle w:val="Compact"/>
            </w:pPr>
            <w:r>
              <w:t xml:space="preserve">Experimento 1 - Coletas (12 garanhões × 3 ejaculados), processamento e análises</w:t>
            </w:r>
          </w:p>
        </w:tc>
      </w:tr>
      <w:tr>
        <w:tc>
          <w:tcPr/>
          <w:p>
            <w:pPr>
              <w:pStyle w:val="Compact"/>
            </w:pPr>
            <w:r>
              <w:t xml:space="preserve">Meses 7-9</w:t>
            </w:r>
          </w:p>
        </w:tc>
        <w:tc>
          <w:tcPr/>
          <w:p>
            <w:pPr>
              <w:pStyle w:val="Compact"/>
            </w:pPr>
            <w:r>
              <w:t xml:space="preserve">Experimento 2 - Cinética temporal (12 garanhões × 2 coletas), análises</w:t>
            </w:r>
          </w:p>
        </w:tc>
      </w:tr>
      <w:tr>
        <w:tc>
          <w:tcPr/>
          <w:p>
            <w:pPr>
              <w:pStyle w:val="Compact"/>
            </w:pPr>
            <w:r>
              <w:t xml:space="preserve">Meses 10-11</w:t>
            </w:r>
          </w:p>
        </w:tc>
        <w:tc>
          <w:tcPr/>
          <w:p>
            <w:pPr>
              <w:pStyle w:val="Compact"/>
            </w:pPr>
            <w:r>
              <w:t xml:space="preserve">Análises estatísticas, interpretação, preparo de manuscritos</w:t>
            </w:r>
          </w:p>
        </w:tc>
      </w:tr>
      <w:tr>
        <w:tc>
          <w:tcPr/>
          <w:p>
            <w:pPr>
              <w:pStyle w:val="Compact"/>
            </w:pPr>
            <w:r>
              <w:t xml:space="preserve">Meses 12-16</w:t>
            </w:r>
          </w:p>
        </w:tc>
        <w:tc>
          <w:tcPr/>
          <w:p>
            <w:pPr>
              <w:pStyle w:val="Compact"/>
            </w:pPr>
            <w:r>
              <w:t xml:space="preserve">Experimento 3 in vivo (condicional), submissão de artigos</w:t>
            </w:r>
          </w:p>
        </w:tc>
      </w:tr>
      <w:tr>
        <w:tc>
          <w:tcPr/>
          <w:p>
            <w:pPr>
              <w:pStyle w:val="Compact"/>
            </w:pPr>
            <w:r>
              <w:t xml:space="preserve">Meses 17-18</w:t>
            </w:r>
          </w:p>
        </w:tc>
        <w:tc>
          <w:tcPr/>
          <w:p>
            <w:pPr>
              <w:pStyle w:val="Compact"/>
            </w:pPr>
            <w:r>
              <w:t xml:space="preserve">Defesa, dissertação/tese</w:t>
            </w:r>
          </w:p>
        </w:tc>
      </w:tr>
    </w:tbl>
    <w:bookmarkEnd w:id="31"/>
    <w:bookmarkStart w:id="37" w:name="orçamento-detalhado-e-fornecedores"/>
    <w:p>
      <w:pPr>
        <w:pStyle w:val="Heading1"/>
      </w:pPr>
      <w:r>
        <w:t xml:space="preserve">7. ORÇAMENTO DETALHADO E FORNECEDORES</w:t>
      </w:r>
    </w:p>
    <w:bookmarkStart w:id="32" w:name="reagentes-ferroptose-específicos"/>
    <w:p>
      <w:pPr>
        <w:pStyle w:val="Heading2"/>
      </w:pPr>
      <w:r>
        <w:t xml:space="preserve">7.1 Reagentes Ferroptose-Específicos</w:t>
      </w:r>
    </w:p>
    <w:p>
      <w:pPr>
        <w:pStyle w:val="FirstParagraph"/>
      </w:pPr>
      <w:r>
        <w:t xml:space="preserve">Os compostos e anticorpos ferroptose-específicos são adquiridos exclusivamente via importação. As principais fontes são Sigma-Aldrich/Merck (distribuidor Brasil: Merck Brasil), MedChemExpress (MCE; via importação direta ou representantes como Hexis Científica, Labtest ou similar), e Selleckchem.</w:t>
      </w:r>
    </w:p>
    <w:tbl>
      <w:tblPr>
        <w:tblStyle w:val="Table"/>
        <w:tblW w:type="pct" w:w="5000"/>
        <w:tblLayout w:type="fixed"/>
        <w:tblLook w:firstRow="1" w:lastRow="0" w:firstColumn="0" w:lastColumn="0" w:noHBand="0" w:noVBand="0" w:val="0020"/>
      </w:tblPr>
      <w:tblGrid>
        <w:gridCol w:w="896"/>
        <w:gridCol w:w="1643"/>
        <w:gridCol w:w="747"/>
        <w:gridCol w:w="2839"/>
        <w:gridCol w:w="1793"/>
      </w:tblGrid>
      <w:tr>
        <w:trPr>
          <w:tblHeader w:val="on"/>
        </w:trPr>
        <w:tc>
          <w:tcPr/>
          <w:p>
            <w:pPr>
              <w:pStyle w:val="Compact"/>
            </w:pPr>
            <w:r>
              <w:t xml:space="preserve">Item</w:t>
            </w:r>
          </w:p>
        </w:tc>
        <w:tc>
          <w:tcPr/>
          <w:p>
            <w:pPr>
              <w:pStyle w:val="Compact"/>
            </w:pPr>
            <w:r>
              <w:t xml:space="preserve">Fornecedor</w:t>
            </w:r>
          </w:p>
        </w:tc>
        <w:tc>
          <w:tcPr/>
          <w:p>
            <w:pPr>
              <w:pStyle w:val="Compact"/>
            </w:pPr>
            <w:r>
              <w:t xml:space="preserve">Qtd</w:t>
            </w:r>
          </w:p>
        </w:tc>
        <w:tc>
          <w:tcPr/>
          <w:p>
            <w:pPr>
              <w:pStyle w:val="Compact"/>
            </w:pPr>
            <w:r>
              <w:t xml:space="preserve">Custo unit. (R</w:t>
            </w:r>
            <m:oMath>
              <m:r>
                <m:rPr>
                  <m:sty m:val="p"/>
                </m:rPr>
                <m:t>)</m:t>
              </m:r>
              <m:r>
                <m:rPr>
                  <m:sty m:val="p"/>
                </m:rPr>
                <m:t>|</m:t>
              </m:r>
              <m:r>
                <m:t>T</m:t>
              </m:r>
              <m:r>
                <m:t>o</m:t>
              </m:r>
              <m:r>
                <m:t>t</m:t>
              </m:r>
              <m:r>
                <m:t>a</m:t>
              </m:r>
              <m:r>
                <m:t>l</m:t>
              </m:r>
              <m:r>
                <m:rPr>
                  <m:sty m:val="p"/>
                </m:rPr>
                <m:t>(</m:t>
              </m:r>
              <m:r>
                <m:t>R</m:t>
              </m:r>
            </m:oMath>
            <w:r>
              <w:t xml:space="preserve">)</w:t>
            </w:r>
          </w:p>
        </w:tc>
        <w:tc>
          <w:tcPr/>
          <w:p>
            <w:pPr>
              <w:pStyle w:val="Compact"/>
            </w:pPr>
          </w:p>
        </w:tc>
      </w:tr>
      <w:tr>
        <w:tc>
          <w:tcPr/>
          <w:p>
            <w:pPr>
              <w:pStyle w:val="Compact"/>
            </w:pPr>
            <w:r>
              <w:t xml:space="preserve">Ferrostatina-1 (Fer-1), 5mg - Sigma-Aldrich SML0583</w:t>
            </w:r>
          </w:p>
        </w:tc>
        <w:tc>
          <w:tcPr/>
          <w:p>
            <w:pPr>
              <w:pStyle w:val="Compact"/>
            </w:pPr>
            <w:r>
              <w:t xml:space="preserve">Sigma-Aldrich/Merck Brasil</w:t>
            </w:r>
          </w:p>
        </w:tc>
        <w:tc>
          <w:tcPr/>
          <w:p>
            <w:pPr>
              <w:pStyle w:val="Compact"/>
            </w:pPr>
            <w:r>
              <w:t xml:space="preserve">2 frascos</w:t>
            </w:r>
          </w:p>
        </w:tc>
        <w:tc>
          <w:tcPr/>
          <w:p>
            <w:pPr>
              <w:pStyle w:val="Compact"/>
            </w:pPr>
            <w:r>
              <w:t xml:space="preserve">R$ 1.400*</w:t>
            </w:r>
          </w:p>
        </w:tc>
        <w:tc>
          <w:tcPr/>
          <w:p>
            <w:pPr>
              <w:pStyle w:val="Compact"/>
            </w:pPr>
            <w:r>
              <w:t xml:space="preserve">R$ 2.800</w:t>
            </w:r>
          </w:p>
        </w:tc>
      </w:tr>
      <w:tr>
        <w:tc>
          <w:tcPr/>
          <w:p>
            <w:pPr>
              <w:pStyle w:val="Compact"/>
            </w:pPr>
            <w:r>
              <w:t xml:space="preserve">Liproxstatina-1 (Lip-1), 5mg - Sigma-Aldrich SML1414</w:t>
            </w:r>
          </w:p>
        </w:tc>
        <w:tc>
          <w:tcPr/>
          <w:p>
            <w:pPr>
              <w:pStyle w:val="Compact"/>
            </w:pPr>
            <w:r>
              <w:t xml:space="preserve">Sigma-Aldrich/Merck Brasil</w:t>
            </w:r>
          </w:p>
        </w:tc>
        <w:tc>
          <w:tcPr/>
          <w:p>
            <w:pPr>
              <w:pStyle w:val="Compact"/>
            </w:pPr>
            <w:r>
              <w:t xml:space="preserve">2 frascos</w:t>
            </w:r>
          </w:p>
        </w:tc>
        <w:tc>
          <w:tcPr/>
          <w:p>
            <w:pPr>
              <w:pStyle w:val="Compact"/>
            </w:pPr>
            <w:r>
              <w:t xml:space="preserve">R$ 1.600*</w:t>
            </w:r>
          </w:p>
        </w:tc>
        <w:tc>
          <w:tcPr/>
          <w:p>
            <w:pPr>
              <w:pStyle w:val="Compact"/>
            </w:pPr>
            <w:r>
              <w:t xml:space="preserve">R$ 3.200</w:t>
            </w:r>
          </w:p>
        </w:tc>
      </w:tr>
      <w:tr>
        <w:tc>
          <w:tcPr/>
          <w:p>
            <w:pPr>
              <w:pStyle w:val="Compact"/>
            </w:pPr>
            <w:r>
              <w:t xml:space="preserve">Anticorpo anti-4-HNE (clone HNEJ-2 ou similar), 100µg</w:t>
            </w:r>
          </w:p>
        </w:tc>
        <w:tc>
          <w:tcPr/>
          <w:p>
            <w:pPr>
              <w:pStyle w:val="Compact"/>
            </w:pPr>
            <w:r>
              <w:t xml:space="preserve">Abcam / Sigma-Aldrich</w:t>
            </w:r>
          </w:p>
        </w:tc>
        <w:tc>
          <w:tcPr/>
          <w:p>
            <w:pPr>
              <w:pStyle w:val="Compact"/>
            </w:pPr>
            <w:r>
              <w:t xml:space="preserve">1 frasco</w:t>
            </w:r>
          </w:p>
        </w:tc>
        <w:tc>
          <w:tcPr/>
          <w:p>
            <w:pPr>
              <w:pStyle w:val="Compact"/>
            </w:pPr>
            <w:r>
              <w:t xml:space="preserve">R$ 1.800</w:t>
            </w:r>
          </w:p>
        </w:tc>
        <w:tc>
          <w:tcPr/>
          <w:p>
            <w:pPr>
              <w:pStyle w:val="Compact"/>
            </w:pPr>
            <w:r>
              <w:t xml:space="preserve">R$ 1.800</w:t>
            </w:r>
          </w:p>
        </w:tc>
      </w:tr>
      <w:tr>
        <w:tc>
          <w:tcPr/>
          <w:p>
            <w:pPr>
              <w:pStyle w:val="Compact"/>
            </w:pPr>
            <w:r>
              <w:t xml:space="preserve">Anticorpo anti-GPX4 (para IF/citometria), 100µg</w:t>
            </w:r>
          </w:p>
        </w:tc>
        <w:tc>
          <w:tcPr/>
          <w:p>
            <w:pPr>
              <w:pStyle w:val="Compact"/>
            </w:pPr>
            <w:r>
              <w:t xml:space="preserve">Thermo Fisher / Abcam</w:t>
            </w:r>
          </w:p>
        </w:tc>
        <w:tc>
          <w:tcPr/>
          <w:p>
            <w:pPr>
              <w:pStyle w:val="Compact"/>
            </w:pPr>
            <w:r>
              <w:t xml:space="preserve">1 frasco</w:t>
            </w:r>
          </w:p>
        </w:tc>
        <w:tc>
          <w:tcPr/>
          <w:p>
            <w:pPr>
              <w:pStyle w:val="Compact"/>
            </w:pPr>
            <w:r>
              <w:t xml:space="preserve">R$ 1.800</w:t>
            </w:r>
          </w:p>
        </w:tc>
        <w:tc>
          <w:tcPr/>
          <w:p>
            <w:pPr>
              <w:pStyle w:val="Compact"/>
            </w:pPr>
            <w:r>
              <w:t xml:space="preserve">R$ 1.800</w:t>
            </w:r>
          </w:p>
        </w:tc>
      </w:tr>
      <w:tr>
        <w:tc>
          <w:tcPr/>
          <w:p>
            <w:pPr>
              <w:pStyle w:val="Compact"/>
            </w:pPr>
            <w:r>
              <w:t xml:space="preserve">Anticorpo secundário FITC-conjugado (anti-rabbit ou anti-mouse)</w:t>
            </w:r>
          </w:p>
        </w:tc>
        <w:tc>
          <w:tcPr/>
          <w:p>
            <w:pPr>
              <w:pStyle w:val="Compact"/>
            </w:pPr>
            <w:r>
              <w:t xml:space="preserve">Jackson ImmunoResearch</w:t>
            </w:r>
          </w:p>
        </w:tc>
        <w:tc>
          <w:tcPr/>
          <w:p>
            <w:pPr>
              <w:pStyle w:val="Compact"/>
            </w:pPr>
            <w:r>
              <w:t xml:space="preserve">1 frasco</w:t>
            </w:r>
          </w:p>
        </w:tc>
        <w:tc>
          <w:tcPr/>
          <w:p>
            <w:pPr>
              <w:pStyle w:val="Compact"/>
            </w:pPr>
            <w:r>
              <w:t xml:space="preserve">R$ 800</w:t>
            </w:r>
          </w:p>
        </w:tc>
        <w:tc>
          <w:tcPr/>
          <w:p>
            <w:pPr>
              <w:pStyle w:val="Compact"/>
            </w:pPr>
            <w:r>
              <w:t xml:space="preserve">R$ 800</w:t>
            </w:r>
          </w:p>
        </w:tc>
      </w:tr>
      <w:tr>
        <w:tc>
          <w:tcPr/>
          <w:p>
            <w:pPr>
              <w:pStyle w:val="Compact"/>
            </w:pPr>
            <w:r>
              <w:t xml:space="preserve">C11-BODIPY 581/591, 1mg - Thermo Fisher D3861</w:t>
            </w:r>
          </w:p>
        </w:tc>
        <w:tc>
          <w:tcPr/>
          <w:p>
            <w:pPr>
              <w:pStyle w:val="Compact"/>
            </w:pPr>
            <w:r>
              <w:t xml:space="preserve">Thermo Fisher / Sigma-Aldrich</w:t>
            </w:r>
          </w:p>
        </w:tc>
        <w:tc>
          <w:tcPr/>
          <w:p>
            <w:pPr>
              <w:pStyle w:val="Compact"/>
            </w:pPr>
            <w:r>
              <w:t xml:space="preserve">1 frasco</w:t>
            </w:r>
          </w:p>
        </w:tc>
        <w:tc>
          <w:tcPr/>
          <w:p>
            <w:pPr>
              <w:pStyle w:val="Compact"/>
            </w:pPr>
            <w:r>
              <w:t xml:space="preserve">R$ 2.200</w:t>
            </w:r>
          </w:p>
        </w:tc>
        <w:tc>
          <w:tcPr/>
          <w:p>
            <w:pPr>
              <w:pStyle w:val="Compact"/>
            </w:pPr>
            <w:r>
              <w:t xml:space="preserve">R$ 2.200</w:t>
            </w:r>
          </w:p>
        </w:tc>
      </w:tr>
      <w:tr>
        <w:tc>
          <w:tcPr/>
          <w:p>
            <w:pPr>
              <w:pStyle w:val="Compact"/>
            </w:pPr>
            <w:r>
              <w:t xml:space="preserve">Calceína-AM (ferro lábil/quenching), 1mg</w:t>
            </w:r>
          </w:p>
        </w:tc>
        <w:tc>
          <w:tcPr/>
          <w:p>
            <w:pPr>
              <w:pStyle w:val="Compact"/>
            </w:pPr>
            <w:r>
              <w:t xml:space="preserve">Thermo Fisher C3099</w:t>
            </w:r>
          </w:p>
        </w:tc>
        <w:tc>
          <w:tcPr/>
          <w:p>
            <w:pPr>
              <w:pStyle w:val="Compact"/>
            </w:pPr>
            <w:r>
              <w:t xml:space="preserve">1 frasco</w:t>
            </w:r>
          </w:p>
        </w:tc>
        <w:tc>
          <w:tcPr/>
          <w:p>
            <w:pPr>
              <w:pStyle w:val="Compact"/>
            </w:pPr>
            <w:r>
              <w:t xml:space="preserve">R$ 800</w:t>
            </w:r>
          </w:p>
        </w:tc>
        <w:tc>
          <w:tcPr/>
          <w:p>
            <w:pPr>
              <w:pStyle w:val="Compact"/>
            </w:pPr>
            <w:r>
              <w:t xml:space="preserve">R$ 800</w:t>
            </w:r>
          </w:p>
        </w:tc>
      </w:tr>
      <w:tr>
        <w:tc>
          <w:tcPr/>
          <w:p>
            <w:pPr>
              <w:pStyle w:val="Compact"/>
            </w:pPr>
            <w:r>
              <w:t xml:space="preserve">BHT (di-terc-butil-hidroxitolueno), 25g</w:t>
            </w:r>
          </w:p>
        </w:tc>
        <w:tc>
          <w:tcPr/>
          <w:p>
            <w:pPr>
              <w:pStyle w:val="Compact"/>
            </w:pPr>
            <w:r>
              <w:t xml:space="preserve">Sigma-Aldrich</w:t>
            </w:r>
          </w:p>
        </w:tc>
        <w:tc>
          <w:tcPr/>
          <w:p>
            <w:pPr>
              <w:pStyle w:val="Compact"/>
            </w:pPr>
            <w:r>
              <w:t xml:space="preserve">1 frasco</w:t>
            </w:r>
          </w:p>
        </w:tc>
        <w:tc>
          <w:tcPr/>
          <w:p>
            <w:pPr>
              <w:pStyle w:val="Compact"/>
            </w:pPr>
            <w:r>
              <w:t xml:space="preserve">R$ 150</w:t>
            </w:r>
          </w:p>
        </w:tc>
        <w:tc>
          <w:tcPr/>
          <w:p>
            <w:pPr>
              <w:pStyle w:val="Compact"/>
            </w:pPr>
            <w:r>
              <w:t xml:space="preserve">R$ 150</w:t>
            </w:r>
          </w:p>
        </w:tc>
      </w:tr>
      <w:tr>
        <w:tc>
          <w:tcPr/>
          <w:p>
            <w:pPr>
              <w:pStyle w:val="Compact"/>
            </w:pPr>
            <w:r>
              <w:t xml:space="preserve">Z-VAD-FMK (inibidor pan-caspase), 1mg</w:t>
            </w:r>
          </w:p>
        </w:tc>
        <w:tc>
          <w:tcPr/>
          <w:p>
            <w:pPr>
              <w:pStyle w:val="Compact"/>
            </w:pPr>
            <w:r>
              <w:t xml:space="preserve">MedChemExpress/Selleckchem</w:t>
            </w:r>
          </w:p>
        </w:tc>
        <w:tc>
          <w:tcPr/>
          <w:p>
            <w:pPr>
              <w:pStyle w:val="Compact"/>
            </w:pPr>
            <w:r>
              <w:t xml:space="preserve">1 frasco</w:t>
            </w:r>
          </w:p>
        </w:tc>
        <w:tc>
          <w:tcPr/>
          <w:p>
            <w:pPr>
              <w:pStyle w:val="Compact"/>
            </w:pPr>
            <w:r>
              <w:t xml:space="preserve">R$ 1.200</w:t>
            </w:r>
          </w:p>
        </w:tc>
        <w:tc>
          <w:tcPr/>
          <w:p>
            <w:pPr>
              <w:pStyle w:val="Compact"/>
            </w:pPr>
            <w:r>
              <w:t xml:space="preserve">R$ 1.200</w:t>
            </w:r>
          </w:p>
        </w:tc>
      </w:tr>
      <w:tr>
        <w:tc>
          <w:tcPr/>
          <w:p>
            <w:pPr>
              <w:pStyle w:val="Compact"/>
            </w:pPr>
            <w:r>
              <w:t xml:space="preserve">Anticorpo anti-ACSL4, 100µg</w:t>
            </w:r>
          </w:p>
        </w:tc>
        <w:tc>
          <w:tcPr/>
          <w:p>
            <w:pPr>
              <w:pStyle w:val="Compact"/>
            </w:pPr>
            <w:r>
              <w:t xml:space="preserve">Thermo Fisher/Abcam</w:t>
            </w:r>
          </w:p>
        </w:tc>
        <w:tc>
          <w:tcPr/>
          <w:p>
            <w:pPr>
              <w:pStyle w:val="Compact"/>
            </w:pPr>
            <w:r>
              <w:t xml:space="preserve">1 frasco</w:t>
            </w:r>
          </w:p>
        </w:tc>
        <w:tc>
          <w:tcPr/>
          <w:p>
            <w:pPr>
              <w:pStyle w:val="Compact"/>
            </w:pPr>
            <w:r>
              <w:t xml:space="preserve">R$ 1.800</w:t>
            </w:r>
          </w:p>
        </w:tc>
        <w:tc>
          <w:tcPr/>
          <w:p>
            <w:pPr>
              <w:pStyle w:val="Compact"/>
            </w:pPr>
            <w:r>
              <w:t xml:space="preserve">R$ 1.800</w:t>
            </w:r>
          </w:p>
        </w:tc>
      </w:tr>
      <w:tr>
        <w:tc>
          <w:tcPr/>
          <w:p>
            <w:pPr>
              <w:pStyle w:val="Compact"/>
            </w:pPr>
            <w:r>
              <w:t xml:space="preserve">Anticorpo secundário Alexa Fluor 647</w:t>
            </w:r>
          </w:p>
        </w:tc>
        <w:tc>
          <w:tcPr/>
          <w:p>
            <w:pPr>
              <w:pStyle w:val="Compact"/>
            </w:pPr>
            <w:r>
              <w:t xml:space="preserve">Jackson ImmunoResearch</w:t>
            </w:r>
          </w:p>
        </w:tc>
        <w:tc>
          <w:tcPr/>
          <w:p>
            <w:pPr>
              <w:pStyle w:val="Compact"/>
            </w:pPr>
            <w:r>
              <w:t xml:space="preserve">1 frasco</w:t>
            </w:r>
          </w:p>
        </w:tc>
        <w:tc>
          <w:tcPr/>
          <w:p>
            <w:pPr>
              <w:pStyle w:val="Compact"/>
            </w:pPr>
            <w:r>
              <w:t xml:space="preserve">R$ 900</w:t>
            </w:r>
          </w:p>
        </w:tc>
        <w:tc>
          <w:tcPr/>
          <w:p>
            <w:pPr>
              <w:pStyle w:val="Compact"/>
            </w:pPr>
            <w:r>
              <w:t xml:space="preserve">R$ 900</w:t>
            </w:r>
          </w:p>
        </w:tc>
      </w:tr>
      <w:tr>
        <w:tc>
          <w:tcPr/>
          <w:p>
            <w:pPr>
              <w:pStyle w:val="Compact"/>
            </w:pPr>
            <w:r>
              <w:t xml:space="preserve">CellROX Deep Red, 1 frasco</w:t>
            </w:r>
          </w:p>
        </w:tc>
        <w:tc>
          <w:tcPr/>
          <w:p>
            <w:pPr>
              <w:pStyle w:val="Compact"/>
            </w:pPr>
            <w:r>
              <w:t xml:space="preserve">Thermo Fisher</w:t>
            </w:r>
          </w:p>
        </w:tc>
        <w:tc>
          <w:tcPr/>
          <w:p>
            <w:pPr>
              <w:pStyle w:val="Compact"/>
            </w:pPr>
            <w:r>
              <w:t xml:space="preserve">1 frasco</w:t>
            </w:r>
          </w:p>
        </w:tc>
        <w:tc>
          <w:tcPr/>
          <w:p>
            <w:pPr>
              <w:pStyle w:val="Compact"/>
            </w:pPr>
            <w:r>
              <w:t xml:space="preserve">R$ 1.500</w:t>
            </w:r>
          </w:p>
        </w:tc>
        <w:tc>
          <w:tcPr/>
          <w:p>
            <w:pPr>
              <w:pStyle w:val="Compact"/>
            </w:pPr>
            <w:r>
              <w:t xml:space="preserve">R$ 1.500</w:t>
            </w:r>
          </w:p>
        </w:tc>
      </w:tr>
      <w:tr>
        <w:tc>
          <w:tcPr/>
          <w:p>
            <w:pPr>
              <w:pStyle w:val="Compact"/>
            </w:pPr>
            <w:r>
              <w:t xml:space="preserve">FerroOrange, 10 ensaios</w:t>
            </w:r>
          </w:p>
        </w:tc>
        <w:tc>
          <w:tcPr/>
          <w:p>
            <w:pPr>
              <w:pStyle w:val="Compact"/>
            </w:pPr>
            <w:r>
              <w:t xml:space="preserve">Dojindo</w:t>
            </w:r>
          </w:p>
        </w:tc>
        <w:tc>
          <w:tcPr/>
          <w:p>
            <w:pPr>
              <w:pStyle w:val="Compact"/>
            </w:pPr>
            <w:r>
              <w:t xml:space="preserve">1 kit</w:t>
            </w:r>
          </w:p>
        </w:tc>
        <w:tc>
          <w:tcPr/>
          <w:p>
            <w:pPr>
              <w:pStyle w:val="Compact"/>
            </w:pPr>
            <w:r>
              <w:t xml:space="preserve">R$ 2.000</w:t>
            </w:r>
          </w:p>
        </w:tc>
        <w:tc>
          <w:tcPr/>
          <w:p>
            <w:pPr>
              <w:pStyle w:val="Compact"/>
            </w:pPr>
            <w:r>
              <w:t xml:space="preserve">R$ 2.000 (opcional)</w:t>
            </w:r>
          </w:p>
        </w:tc>
      </w:tr>
    </w:tbl>
    <w:p>
      <w:pPr>
        <w:pStyle w:val="BodyText"/>
      </w:pPr>
      <w:r>
        <w:t xml:space="preserve">* Cotação estimada abril/2026 incluindo IOF e frete internacional. Valores em USD: Fer-1 (5mg) ~US$160-180; Lip-1 (5mg) ~US$180-220. Recomenda-se cotação atualizada junto à Merck Brasil (0800-722-7363) ou diretamente em sigma-aldrich.com. Alternativa mais econômica: MedChemExpress (medchemexpress.com) - frete econômico disponível com entrega 7-15 dias úteis.</w:t>
      </w:r>
    </w:p>
    <w:bookmarkEnd w:id="32"/>
    <w:bookmarkStart w:id="33" w:name="reagentes-de-rotina-painel-convencional"/>
    <w:p>
      <w:pPr>
        <w:pStyle w:val="Heading2"/>
      </w:pPr>
      <w:r>
        <w:t xml:space="preserve">7.2 Reagentes de Rotina (Painel Convencional)</w:t>
      </w:r>
    </w:p>
    <w:tbl>
      <w:tblPr>
        <w:tblStyle w:val="Table"/>
        <w:tblW w:type="pct" w:w="5000"/>
        <w:tblLayout w:type="fixed"/>
        <w:tblLook w:firstRow="1" w:lastRow="0" w:firstColumn="0" w:lastColumn="0" w:noHBand="0" w:noVBand="0" w:val="0020"/>
      </w:tblPr>
      <w:tblGrid>
        <w:gridCol w:w="896"/>
        <w:gridCol w:w="1643"/>
        <w:gridCol w:w="747"/>
        <w:gridCol w:w="2839"/>
        <w:gridCol w:w="1793"/>
      </w:tblGrid>
      <w:tr>
        <w:trPr>
          <w:tblHeader w:val="on"/>
        </w:trPr>
        <w:tc>
          <w:tcPr/>
          <w:p>
            <w:pPr>
              <w:pStyle w:val="Compact"/>
            </w:pPr>
            <w:r>
              <w:t xml:space="preserve">Item</w:t>
            </w:r>
          </w:p>
        </w:tc>
        <w:tc>
          <w:tcPr/>
          <w:p>
            <w:pPr>
              <w:pStyle w:val="Compact"/>
            </w:pPr>
            <w:r>
              <w:t xml:space="preserve">Fornecedor</w:t>
            </w:r>
          </w:p>
        </w:tc>
        <w:tc>
          <w:tcPr/>
          <w:p>
            <w:pPr>
              <w:pStyle w:val="Compact"/>
            </w:pPr>
            <w:r>
              <w:t xml:space="preserve">Qtd</w:t>
            </w:r>
          </w:p>
        </w:tc>
        <w:tc>
          <w:tcPr/>
          <w:p>
            <w:pPr>
              <w:pStyle w:val="Compact"/>
            </w:pPr>
            <w:r>
              <w:t xml:space="preserve">Custo unit. (R</w:t>
            </w:r>
            <m:oMath>
              <m:r>
                <m:rPr>
                  <m:sty m:val="p"/>
                </m:rPr>
                <m:t>)</m:t>
              </m:r>
              <m:r>
                <m:rPr>
                  <m:sty m:val="p"/>
                </m:rPr>
                <m:t>|</m:t>
              </m:r>
              <m:r>
                <m:t>T</m:t>
              </m:r>
              <m:r>
                <m:t>o</m:t>
              </m:r>
              <m:r>
                <m:t>t</m:t>
              </m:r>
              <m:r>
                <m:t>a</m:t>
              </m:r>
              <m:r>
                <m:t>l</m:t>
              </m:r>
              <m:r>
                <m:rPr>
                  <m:sty m:val="p"/>
                </m:rPr>
                <m:t>(</m:t>
              </m:r>
              <m:r>
                <m:t>R</m:t>
              </m:r>
            </m:oMath>
            <w:r>
              <w:t xml:space="preserve">)</w:t>
            </w:r>
          </w:p>
        </w:tc>
        <w:tc>
          <w:tcPr/>
          <w:p>
            <w:pPr>
              <w:pStyle w:val="Compact"/>
            </w:pPr>
          </w:p>
        </w:tc>
      </w:tr>
      <w:tr>
        <w:tc>
          <w:tcPr/>
          <w:p>
            <w:pPr>
              <w:pStyle w:val="Compact"/>
            </w:pPr>
            <w:r>
              <w:t xml:space="preserve">CFDA (Carboxifluoresceína diacetato), 25mg</w:t>
            </w:r>
          </w:p>
        </w:tc>
        <w:tc>
          <w:tcPr/>
          <w:p>
            <w:pPr>
              <w:pStyle w:val="Compact"/>
            </w:pPr>
            <w:r>
              <w:t xml:space="preserve">Thermo Fisher / Sigma</w:t>
            </w:r>
          </w:p>
        </w:tc>
        <w:tc>
          <w:tcPr/>
          <w:p>
            <w:pPr>
              <w:pStyle w:val="Compact"/>
            </w:pPr>
            <w:r>
              <w:t xml:space="preserve">1 frasco</w:t>
            </w:r>
          </w:p>
        </w:tc>
        <w:tc>
          <w:tcPr/>
          <w:p>
            <w:pPr>
              <w:pStyle w:val="Compact"/>
            </w:pPr>
            <w:r>
              <w:t xml:space="preserve">R$ 400</w:t>
            </w:r>
          </w:p>
        </w:tc>
        <w:tc>
          <w:tcPr/>
          <w:p>
            <w:pPr>
              <w:pStyle w:val="Compact"/>
            </w:pPr>
            <w:r>
              <w:t xml:space="preserve">R$ 400</w:t>
            </w:r>
          </w:p>
        </w:tc>
      </w:tr>
      <w:tr>
        <w:tc>
          <w:tcPr/>
          <w:p>
            <w:pPr>
              <w:pStyle w:val="Compact"/>
            </w:pPr>
            <w:r>
              <w:t xml:space="preserve">Iodeto de propídeo (PI), 100mg</w:t>
            </w:r>
          </w:p>
        </w:tc>
        <w:tc>
          <w:tcPr/>
          <w:p>
            <w:pPr>
              <w:pStyle w:val="Compact"/>
            </w:pPr>
            <w:r>
              <w:t xml:space="preserve">Sigma-Aldrich</w:t>
            </w:r>
          </w:p>
        </w:tc>
        <w:tc>
          <w:tcPr/>
          <w:p>
            <w:pPr>
              <w:pStyle w:val="Compact"/>
            </w:pPr>
            <w:r>
              <w:t xml:space="preserve">1 frasco</w:t>
            </w:r>
          </w:p>
        </w:tc>
        <w:tc>
          <w:tcPr/>
          <w:p>
            <w:pPr>
              <w:pStyle w:val="Compact"/>
            </w:pPr>
            <w:r>
              <w:t xml:space="preserve">R$ 350</w:t>
            </w:r>
          </w:p>
        </w:tc>
        <w:tc>
          <w:tcPr/>
          <w:p>
            <w:pPr>
              <w:pStyle w:val="Compact"/>
            </w:pPr>
            <w:r>
              <w:t xml:space="preserve">R$ 350</w:t>
            </w:r>
          </w:p>
        </w:tc>
      </w:tr>
      <w:tr>
        <w:tc>
          <w:tcPr/>
          <w:p>
            <w:pPr>
              <w:pStyle w:val="Compact"/>
            </w:pPr>
            <w:r>
              <w:t xml:space="preserve">JC-1 (potencial mitocondrial), 5mg</w:t>
            </w:r>
          </w:p>
        </w:tc>
        <w:tc>
          <w:tcPr/>
          <w:p>
            <w:pPr>
              <w:pStyle w:val="Compact"/>
            </w:pPr>
            <w:r>
              <w:t xml:space="preserve">Thermo Fisher T3168</w:t>
            </w:r>
          </w:p>
        </w:tc>
        <w:tc>
          <w:tcPr/>
          <w:p>
            <w:pPr>
              <w:pStyle w:val="Compact"/>
            </w:pPr>
            <w:r>
              <w:t xml:space="preserve">1 frasco</w:t>
            </w:r>
          </w:p>
        </w:tc>
        <w:tc>
          <w:tcPr/>
          <w:p>
            <w:pPr>
              <w:pStyle w:val="Compact"/>
            </w:pPr>
            <w:r>
              <w:t xml:space="preserve">R$ 900</w:t>
            </w:r>
          </w:p>
        </w:tc>
        <w:tc>
          <w:tcPr/>
          <w:p>
            <w:pPr>
              <w:pStyle w:val="Compact"/>
            </w:pPr>
            <w:r>
              <w:t xml:space="preserve">R$ 900</w:t>
            </w:r>
          </w:p>
        </w:tc>
      </w:tr>
      <w:tr>
        <w:tc>
          <w:tcPr/>
          <w:p>
            <w:pPr>
              <w:pStyle w:val="Compact"/>
            </w:pPr>
            <w:r>
              <w:t xml:space="preserve">BotuCrio® (frasco 100mL)</w:t>
            </w:r>
          </w:p>
        </w:tc>
        <w:tc>
          <w:tcPr/>
          <w:p>
            <w:pPr>
              <w:pStyle w:val="Compact"/>
            </w:pPr>
            <w:r>
              <w:t xml:space="preserve">Botupharma (Botucatu-SP)</w:t>
            </w:r>
          </w:p>
        </w:tc>
        <w:tc>
          <w:tcPr/>
          <w:p>
            <w:pPr>
              <w:pStyle w:val="Compact"/>
            </w:pPr>
            <w:r>
              <w:t xml:space="preserve">6 frascos</w:t>
            </w:r>
          </w:p>
        </w:tc>
        <w:tc>
          <w:tcPr/>
          <w:p>
            <w:pPr>
              <w:pStyle w:val="Compact"/>
            </w:pPr>
            <w:r>
              <w:t xml:space="preserve">R$ 180</w:t>
            </w:r>
          </w:p>
        </w:tc>
        <w:tc>
          <w:tcPr/>
          <w:p>
            <w:pPr>
              <w:pStyle w:val="Compact"/>
            </w:pPr>
            <w:r>
              <w:t xml:space="preserve">R$ 1.080</w:t>
            </w:r>
          </w:p>
        </w:tc>
      </w:tr>
      <w:tr>
        <w:tc>
          <w:tcPr/>
          <w:p>
            <w:pPr>
              <w:pStyle w:val="Compact"/>
            </w:pPr>
            <w:r>
              <w:t xml:space="preserve">DMSO (grau biologia celular, 100mL)</w:t>
            </w:r>
          </w:p>
        </w:tc>
        <w:tc>
          <w:tcPr/>
          <w:p>
            <w:pPr>
              <w:pStyle w:val="Compact"/>
            </w:pPr>
            <w:r>
              <w:t xml:space="preserve">Sigma-Aldrich</w:t>
            </w:r>
          </w:p>
        </w:tc>
        <w:tc>
          <w:tcPr/>
          <w:p>
            <w:pPr>
              <w:pStyle w:val="Compact"/>
            </w:pPr>
            <w:r>
              <w:t xml:space="preserve">2 frascos</w:t>
            </w:r>
          </w:p>
        </w:tc>
        <w:tc>
          <w:tcPr/>
          <w:p>
            <w:pPr>
              <w:pStyle w:val="Compact"/>
            </w:pPr>
            <w:r>
              <w:t xml:space="preserve">R$ 150</w:t>
            </w:r>
          </w:p>
        </w:tc>
        <w:tc>
          <w:tcPr/>
          <w:p>
            <w:pPr>
              <w:pStyle w:val="Compact"/>
            </w:pPr>
            <w:r>
              <w:t xml:space="preserve">R$ 300</w:t>
            </w:r>
          </w:p>
        </w:tc>
      </w:tr>
      <w:tr>
        <w:tc>
          <w:tcPr/>
          <w:p>
            <w:pPr>
              <w:pStyle w:val="Compact"/>
            </w:pPr>
            <w:r>
              <w:t xml:space="preserve">BSA (albumina sérica bovina, para bloqueio)</w:t>
            </w:r>
          </w:p>
        </w:tc>
        <w:tc>
          <w:tcPr/>
          <w:p>
            <w:pPr>
              <w:pStyle w:val="Compact"/>
            </w:pPr>
            <w:r>
              <w:t xml:space="preserve">Sigma-Aldrich</w:t>
            </w:r>
          </w:p>
        </w:tc>
        <w:tc>
          <w:tcPr/>
          <w:p>
            <w:pPr>
              <w:pStyle w:val="Compact"/>
            </w:pPr>
            <w:r>
              <w:t xml:space="preserve">1 frasco</w:t>
            </w:r>
          </w:p>
        </w:tc>
        <w:tc>
          <w:tcPr/>
          <w:p>
            <w:pPr>
              <w:pStyle w:val="Compact"/>
            </w:pPr>
            <w:r>
              <w:t xml:space="preserve">R$ 280</w:t>
            </w:r>
          </w:p>
        </w:tc>
        <w:tc>
          <w:tcPr/>
          <w:p>
            <w:pPr>
              <w:pStyle w:val="Compact"/>
            </w:pPr>
            <w:r>
              <w:t xml:space="preserve">R$ 280</w:t>
            </w:r>
          </w:p>
        </w:tc>
      </w:tr>
      <w:tr>
        <w:tc>
          <w:tcPr/>
          <w:p>
            <w:pPr>
              <w:pStyle w:val="Compact"/>
            </w:pPr>
            <w:r>
              <w:t xml:space="preserve">PBS (tampão fosfato salino)</w:t>
            </w:r>
          </w:p>
        </w:tc>
        <w:tc>
          <w:tcPr/>
          <w:p>
            <w:pPr>
              <w:pStyle w:val="Compact"/>
            </w:pPr>
            <w:r>
              <w:t xml:space="preserve">Sigma-Aldrich</w:t>
            </w:r>
          </w:p>
        </w:tc>
        <w:tc>
          <w:tcPr/>
          <w:p>
            <w:pPr>
              <w:pStyle w:val="Compact"/>
            </w:pPr>
            <w:r>
              <w:t xml:space="preserve">10 pacotes</w:t>
            </w:r>
          </w:p>
        </w:tc>
        <w:tc>
          <w:tcPr/>
          <w:p>
            <w:pPr>
              <w:pStyle w:val="Compact"/>
            </w:pPr>
            <w:r>
              <w:t xml:space="preserve">R$ 60</w:t>
            </w:r>
          </w:p>
        </w:tc>
        <w:tc>
          <w:tcPr/>
          <w:p>
            <w:pPr>
              <w:pStyle w:val="Compact"/>
            </w:pPr>
            <w:r>
              <w:t xml:space="preserve">R$ 600</w:t>
            </w:r>
          </w:p>
        </w:tc>
      </w:tr>
    </w:tbl>
    <w:bookmarkEnd w:id="33"/>
    <w:bookmarkStart w:id="34" w:name="consumíveis-e-materiais"/>
    <w:p>
      <w:pPr>
        <w:pStyle w:val="Heading2"/>
      </w:pPr>
      <w:r>
        <w:t xml:space="preserve">7.3 Consumíveis e Materiais</w:t>
      </w:r>
    </w:p>
    <w:tbl>
      <w:tblPr>
        <w:tblStyle w:val="Table"/>
        <w:tblW w:type="pct" w:w="5000"/>
        <w:tblLayout w:type="fixed"/>
        <w:tblLook w:firstRow="1" w:lastRow="0" w:firstColumn="0" w:lastColumn="0" w:noHBand="0" w:noVBand="0" w:val="0020"/>
      </w:tblPr>
      <w:tblGrid>
        <w:gridCol w:w="896"/>
        <w:gridCol w:w="1643"/>
        <w:gridCol w:w="747"/>
        <w:gridCol w:w="2839"/>
        <w:gridCol w:w="1793"/>
      </w:tblGrid>
      <w:tr>
        <w:trPr>
          <w:tblHeader w:val="on"/>
        </w:trPr>
        <w:tc>
          <w:tcPr/>
          <w:p>
            <w:pPr>
              <w:pStyle w:val="Compact"/>
            </w:pPr>
            <w:r>
              <w:t xml:space="preserve">Item</w:t>
            </w:r>
          </w:p>
        </w:tc>
        <w:tc>
          <w:tcPr/>
          <w:p>
            <w:pPr>
              <w:pStyle w:val="Compact"/>
            </w:pPr>
            <w:r>
              <w:t xml:space="preserve">Fornecedor</w:t>
            </w:r>
          </w:p>
        </w:tc>
        <w:tc>
          <w:tcPr/>
          <w:p>
            <w:pPr>
              <w:pStyle w:val="Compact"/>
            </w:pPr>
            <w:r>
              <w:t xml:space="preserve">Qtd</w:t>
            </w:r>
          </w:p>
        </w:tc>
        <w:tc>
          <w:tcPr/>
          <w:p>
            <w:pPr>
              <w:pStyle w:val="Compact"/>
            </w:pPr>
            <w:r>
              <w:t xml:space="preserve">Custo unit. (R</w:t>
            </w:r>
            <m:oMath>
              <m:r>
                <m:rPr>
                  <m:sty m:val="p"/>
                </m:rPr>
                <m:t>)</m:t>
              </m:r>
              <m:r>
                <m:rPr>
                  <m:sty m:val="p"/>
                </m:rPr>
                <m:t>|</m:t>
              </m:r>
              <m:r>
                <m:t>T</m:t>
              </m:r>
              <m:r>
                <m:t>o</m:t>
              </m:r>
              <m:r>
                <m:t>t</m:t>
              </m:r>
              <m:r>
                <m:t>a</m:t>
              </m:r>
              <m:r>
                <m:t>l</m:t>
              </m:r>
              <m:r>
                <m:rPr>
                  <m:sty m:val="p"/>
                </m:rPr>
                <m:t>(</m:t>
              </m:r>
              <m:r>
                <m:t>R</m:t>
              </m:r>
            </m:oMath>
            <w:r>
              <w:t xml:space="preserve">)</w:t>
            </w:r>
          </w:p>
        </w:tc>
        <w:tc>
          <w:tcPr/>
          <w:p>
            <w:pPr>
              <w:pStyle w:val="Compact"/>
            </w:pPr>
          </w:p>
        </w:tc>
      </w:tr>
      <w:tr>
        <w:tc>
          <w:tcPr/>
          <w:p>
            <w:pPr>
              <w:pStyle w:val="Compact"/>
            </w:pPr>
            <w:r>
              <w:t xml:space="preserve">Palhetas (0,5mL), para criopreservação</w:t>
            </w:r>
          </w:p>
        </w:tc>
        <w:tc>
          <w:tcPr/>
          <w:p>
            <w:pPr>
              <w:pStyle w:val="Compact"/>
            </w:pPr>
            <w:r>
              <w:t xml:space="preserve">IMV Technologies (via Agrocampo)</w:t>
            </w:r>
          </w:p>
        </w:tc>
        <w:tc>
          <w:tcPr/>
          <w:p>
            <w:pPr>
              <w:pStyle w:val="Compact"/>
            </w:pPr>
            <w:r>
              <w:t xml:space="preserve">2 cx 100un</w:t>
            </w:r>
          </w:p>
        </w:tc>
        <w:tc>
          <w:tcPr/>
          <w:p>
            <w:pPr>
              <w:pStyle w:val="Compact"/>
            </w:pPr>
            <w:r>
              <w:t xml:space="preserve">R$ 120</w:t>
            </w:r>
          </w:p>
        </w:tc>
        <w:tc>
          <w:tcPr/>
          <w:p>
            <w:pPr>
              <w:pStyle w:val="Compact"/>
            </w:pPr>
            <w:r>
              <w:t xml:space="preserve">R$ 240</w:t>
            </w:r>
          </w:p>
        </w:tc>
      </w:tr>
      <w:tr>
        <w:tc>
          <w:tcPr/>
          <w:p>
            <w:pPr>
              <w:pStyle w:val="Compact"/>
            </w:pPr>
            <w:r>
              <w:t xml:space="preserve">Tubos falcon 15mL e 50mL, caixas</w:t>
            </w:r>
          </w:p>
        </w:tc>
        <w:tc>
          <w:tcPr/>
          <w:p>
            <w:pPr>
              <w:pStyle w:val="Compact"/>
            </w:pPr>
            <w:r>
              <w:t xml:space="preserve">Corning / Kasvi</w:t>
            </w:r>
          </w:p>
        </w:tc>
        <w:tc>
          <w:tcPr/>
          <w:p>
            <w:pPr>
              <w:pStyle w:val="Compact"/>
            </w:pPr>
            <w:r>
              <w:t xml:space="preserve">4 caixas</w:t>
            </w:r>
          </w:p>
        </w:tc>
        <w:tc>
          <w:tcPr/>
          <w:p>
            <w:pPr>
              <w:pStyle w:val="Compact"/>
            </w:pPr>
            <w:r>
              <w:t xml:space="preserve">R$ 90</w:t>
            </w:r>
          </w:p>
        </w:tc>
        <w:tc>
          <w:tcPr/>
          <w:p>
            <w:pPr>
              <w:pStyle w:val="Compact"/>
            </w:pPr>
            <w:r>
              <w:t xml:space="preserve">R$ 360</w:t>
            </w:r>
          </w:p>
        </w:tc>
      </w:tr>
      <w:tr>
        <w:tc>
          <w:tcPr/>
          <w:p>
            <w:pPr>
              <w:pStyle w:val="Compact"/>
            </w:pPr>
            <w:r>
              <w:t xml:space="preserve">Microtubos 1,5mL (eppendorf)</w:t>
            </w:r>
          </w:p>
        </w:tc>
        <w:tc>
          <w:tcPr/>
          <w:p>
            <w:pPr>
              <w:pStyle w:val="Compact"/>
            </w:pPr>
            <w:r>
              <w:t xml:space="preserve">Kasvi / Axygen</w:t>
            </w:r>
          </w:p>
        </w:tc>
        <w:tc>
          <w:tcPr/>
          <w:p>
            <w:pPr>
              <w:pStyle w:val="Compact"/>
            </w:pPr>
            <w:r>
              <w:t xml:space="preserve">5 pacotes 500un</w:t>
            </w:r>
          </w:p>
        </w:tc>
        <w:tc>
          <w:tcPr/>
          <w:p>
            <w:pPr>
              <w:pStyle w:val="Compact"/>
            </w:pPr>
            <w:r>
              <w:t xml:space="preserve">R$ 60</w:t>
            </w:r>
          </w:p>
        </w:tc>
        <w:tc>
          <w:tcPr/>
          <w:p>
            <w:pPr>
              <w:pStyle w:val="Compact"/>
            </w:pPr>
            <w:r>
              <w:t xml:space="preserve">R$ 300</w:t>
            </w:r>
          </w:p>
        </w:tc>
      </w:tr>
      <w:tr>
        <w:tc>
          <w:tcPr/>
          <w:p>
            <w:pPr>
              <w:pStyle w:val="Compact"/>
            </w:pPr>
            <w:r>
              <w:t xml:space="preserve">Ponteiras (diversas volumes)</w:t>
            </w:r>
          </w:p>
        </w:tc>
        <w:tc>
          <w:tcPr/>
          <w:p>
            <w:pPr>
              <w:pStyle w:val="Compact"/>
            </w:pPr>
            <w:r>
              <w:t xml:space="preserve">Labcon / Axygen</w:t>
            </w:r>
          </w:p>
        </w:tc>
        <w:tc>
          <w:tcPr/>
          <w:p>
            <w:pPr>
              <w:pStyle w:val="Compact"/>
            </w:pPr>
            <w:r>
              <w:t xml:space="preserve">10 caixas</w:t>
            </w:r>
          </w:p>
        </w:tc>
        <w:tc>
          <w:tcPr/>
          <w:p>
            <w:pPr>
              <w:pStyle w:val="Compact"/>
            </w:pPr>
            <w:r>
              <w:t xml:space="preserve">R$ 50</w:t>
            </w:r>
          </w:p>
        </w:tc>
        <w:tc>
          <w:tcPr/>
          <w:p>
            <w:pPr>
              <w:pStyle w:val="Compact"/>
            </w:pPr>
            <w:r>
              <w:t xml:space="preserve">R$ 500</w:t>
            </w:r>
          </w:p>
        </w:tc>
      </w:tr>
      <w:tr>
        <w:tc>
          <w:tcPr/>
          <w:p>
            <w:pPr>
              <w:pStyle w:val="Compact"/>
            </w:pPr>
            <w:r>
              <w:t xml:space="preserve">Luvas nitrílicas, caixas 100un</w:t>
            </w:r>
          </w:p>
        </w:tc>
        <w:tc>
          <w:tcPr/>
          <w:p>
            <w:pPr>
              <w:pStyle w:val="Compact"/>
            </w:pPr>
            <w:r>
              <w:t xml:space="preserve">Descarpack</w:t>
            </w:r>
          </w:p>
        </w:tc>
        <w:tc>
          <w:tcPr/>
          <w:p>
            <w:pPr>
              <w:pStyle w:val="Compact"/>
            </w:pPr>
            <w:r>
              <w:t xml:space="preserve">10 caixas</w:t>
            </w:r>
          </w:p>
        </w:tc>
        <w:tc>
          <w:tcPr/>
          <w:p>
            <w:pPr>
              <w:pStyle w:val="Compact"/>
            </w:pPr>
            <w:r>
              <w:t xml:space="preserve">R$ 35</w:t>
            </w:r>
          </w:p>
        </w:tc>
        <w:tc>
          <w:tcPr/>
          <w:p>
            <w:pPr>
              <w:pStyle w:val="Compact"/>
            </w:pPr>
            <w:r>
              <w:t xml:space="preserve">R$ 350</w:t>
            </w:r>
          </w:p>
        </w:tc>
      </w:tr>
      <w:tr>
        <w:tc>
          <w:tcPr/>
          <w:p>
            <w:pPr>
              <w:pStyle w:val="Compact"/>
            </w:pPr>
            <w:r>
              <w:t xml:space="preserve">Folha de alumínio, materiais básicos bancada</w:t>
            </w:r>
          </w:p>
        </w:tc>
        <w:tc>
          <w:tcPr/>
          <w:p>
            <w:pPr>
              <w:pStyle w:val="Compact"/>
            </w:pPr>
            <w:r>
              <w:t xml:space="preserve">Diversos</w:t>
            </w:r>
          </w:p>
        </w:tc>
        <w:tc>
          <w:tcPr/>
          <w:p>
            <w:pPr>
              <w:pStyle w:val="Compact"/>
            </w:pPr>
            <w:r>
              <w:t xml:space="preserve">vários</w:t>
            </w:r>
          </w:p>
        </w:tc>
        <w:tc>
          <w:tcPr/>
          <w:p>
            <w:pPr>
              <w:pStyle w:val="Compact"/>
            </w:pPr>
            <w:r>
              <w:t xml:space="preserve">-</w:t>
            </w:r>
          </w:p>
        </w:tc>
        <w:tc>
          <w:tcPr/>
          <w:p>
            <w:pPr>
              <w:pStyle w:val="Compact"/>
            </w:pPr>
            <w:r>
              <w:t xml:space="preserve">R$ 300</w:t>
            </w:r>
          </w:p>
        </w:tc>
      </w:tr>
    </w:tbl>
    <w:bookmarkEnd w:id="34"/>
    <w:bookmarkStart w:id="35" w:name="resumo-orçamentário"/>
    <w:p>
      <w:pPr>
        <w:pStyle w:val="Heading2"/>
      </w:pPr>
      <w:r>
        <w:t xml:space="preserve">7.4 Resumo Orçamentário</w:t>
      </w:r>
    </w:p>
    <w:p>
      <w:pPr>
        <w:pStyle w:val="FirstParagraph"/>
      </w:pPr>
      <w:r>
        <w:t xml:space="preserve">Categoria | Subtotal (R$) |</w:t>
      </w:r>
    </w:p>
    <w:p>
      <w:pPr>
        <w:pStyle w:val="BodyText"/>
      </w:pPr>
      <w:r>
        <w:t xml:space="preserve">|———–|—————|</w:t>
      </w:r>
      <w:r>
        <w:t xml:space="preserve"> </w:t>
      </w:r>
      <w:r>
        <w:t xml:space="preserve">| Reagentes ferroptose-específicos | R$ 20.950 |</w:t>
      </w:r>
      <w:r>
        <w:t xml:space="preserve"> </w:t>
      </w:r>
      <w:r>
        <w:t xml:space="preserve">| Reagentes de rotina (painel convencional) | R$ 3.910 |</w:t>
      </w:r>
      <w:r>
        <w:t xml:space="preserve"> </w:t>
      </w:r>
      <w:r>
        <w:t xml:space="preserve">| Consumíveis e materiais | R$ 2.050 |</w:t>
      </w:r>
      <w:r>
        <w:t xml:space="preserve"> </w:t>
      </w:r>
      <w:r>
        <w:t xml:space="preserve">| Reserva técnica (10% imprevistos, reposição) | R$ 2.691 |</w:t>
      </w:r>
      <w:r>
        <w:t xml:space="preserve"> </w:t>
      </w:r>
      <w:r>
        <w:t xml:space="preserve">|</w:t>
      </w:r>
      <w:r>
        <w:t xml:space="preserve"> </w:t>
      </w:r>
      <w:r>
        <w:rPr>
          <w:b/>
          <w:bCs/>
        </w:rPr>
        <w:t xml:space="preserve">TOTAL ESTIMADO</w:t>
      </w:r>
      <w:r>
        <w:t xml:space="preserve"> </w:t>
      </w:r>
      <w:r>
        <w:t xml:space="preserve">|</w:t>
      </w:r>
      <w:r>
        <w:t xml:space="preserve"> </w:t>
      </w:r>
      <w:r>
        <w:rPr>
          <w:b/>
          <w:bCs/>
        </w:rPr>
        <w:t xml:space="preserve">R$ 29.601</w:t>
      </w:r>
      <w:r>
        <w:t xml:space="preserve"> </w:t>
      </w:r>
      <w:r>
        <w:t xml:space="preserve">|</w:t>
      </w:r>
    </w:p>
    <w:p>
      <w:pPr>
        <w:pStyle w:val="BodyText"/>
      </w:pPr>
      <w:r>
        <w:t xml:space="preserve">Nota: Valores não incluem custos com animais (acomodação e manejo pelos proprietários), uso de equipamentos do laboratório (CASA, citômetro de fluxo), mão-de-obra discente e coletas dos ejaculados. O SCSA para fragmentação de DNA pode ser terceirizado (~R$ 120/amostra) ou realizado internamente se o corante DAPI estiver disponível.</w:t>
      </w:r>
    </w:p>
    <w:bookmarkEnd w:id="35"/>
    <w:bookmarkStart w:id="36" w:name="onde-comprar-guia-de-fornecedores"/>
    <w:p>
      <w:pPr>
        <w:pStyle w:val="Heading2"/>
      </w:pPr>
      <w:r>
        <w:t xml:space="preserve">7.5 Onde Comprar: Guia de Fornecedores</w:t>
      </w:r>
    </w:p>
    <w:p>
      <w:pPr>
        <w:pStyle w:val="FirstParagraph"/>
      </w:pPr>
      <w:r>
        <w:rPr>
          <w:b/>
          <w:bCs/>
        </w:rPr>
        <w:t xml:space="preserve">Ferrostatina-1 e Liproxstatina-1:</w:t>
      </w:r>
    </w:p>
    <w:p>
      <w:pPr>
        <w:pStyle w:val="Compact"/>
        <w:numPr>
          <w:ilvl w:val="0"/>
          <w:numId w:val="1006"/>
        </w:numPr>
      </w:pPr>
      <w:r>
        <w:t xml:space="preserve">Sigma-Aldrich/Merck Brasil - merckgroup.com/pt-br (tel: 0800 722 7363). Cotação por e-mail: br.techservice@merck.com. Tempo estimado entrega: 15-30 dias úteis (importação).</w:t>
      </w:r>
    </w:p>
    <w:p>
      <w:pPr>
        <w:pStyle w:val="Compact"/>
        <w:numPr>
          <w:ilvl w:val="0"/>
          <w:numId w:val="1006"/>
        </w:numPr>
      </w:pPr>
      <w:r>
        <w:t xml:space="preserve">MedChemExpress (EUA) - medchemexpress.com. Frete econômico (~US$35-50 para o Brasil). Produtos de qualidade equivalente com custo frequentemente 20-30% inferior à Sigma para estes compostos específicos. Aceita pagamento via cartão ou transferência.</w:t>
      </w:r>
    </w:p>
    <w:p>
      <w:pPr>
        <w:pStyle w:val="Compact"/>
        <w:numPr>
          <w:ilvl w:val="0"/>
          <w:numId w:val="1006"/>
        </w:numPr>
      </w:pPr>
      <w:r>
        <w:t xml:space="preserve">Selleckchem - selleckchem.com. Boa alternativa, qualidade NMR+HPLC verificada.</w:t>
      </w:r>
    </w:p>
    <w:p>
      <w:pPr>
        <w:pStyle w:val="FirstParagraph"/>
      </w:pPr>
      <w:r>
        <w:rPr>
          <w:b/>
          <w:bCs/>
        </w:rPr>
        <w:t xml:space="preserve">Anticorpos (anti-GPX4, anti-4-HNE, anti-ACSL4):</w:t>
      </w:r>
    </w:p>
    <w:p>
      <w:pPr>
        <w:pStyle w:val="Compact"/>
        <w:numPr>
          <w:ilvl w:val="0"/>
          <w:numId w:val="1007"/>
        </w:numPr>
      </w:pPr>
      <w:r>
        <w:t xml:space="preserve">Thermo Fisher Scientific Brasil - thermofisher.com/br (0800 722 2100). Anticorpos GPX4 validados disponíveis (PA5-109274 e MA5-49216).</w:t>
      </w:r>
    </w:p>
    <w:p>
      <w:pPr>
        <w:pStyle w:val="Compact"/>
        <w:numPr>
          <w:ilvl w:val="0"/>
          <w:numId w:val="1007"/>
        </w:numPr>
      </w:pPr>
      <w:r>
        <w:t xml:space="preserve">Abcam (via importação ou distribuidor no Brasil). anti-4-HNE clone HNEJ-2 (ab46545) é amplamente utilizado em estudos de ferroptose espermática.</w:t>
      </w:r>
    </w:p>
    <w:p>
      <w:pPr>
        <w:pStyle w:val="Compact"/>
        <w:numPr>
          <w:ilvl w:val="0"/>
          <w:numId w:val="1007"/>
        </w:numPr>
      </w:pPr>
      <w:r>
        <w:t xml:space="preserve">Para economia: verificar se anticorpos com validação em tecidos de testículo/sêmen de outras espécies são adequados para equinos (contato com suporte técnico recomendado).</w:t>
      </w:r>
    </w:p>
    <w:p>
      <w:pPr>
        <w:pStyle w:val="FirstParagraph"/>
      </w:pPr>
      <w:r>
        <w:rPr>
          <w:b/>
          <w:bCs/>
        </w:rPr>
        <w:t xml:space="preserve">Sondas fluorescentes (C11-BODIPY, Calceína-AM, JC-1, CellROX Deep Red, FerroOrange):</w:t>
      </w:r>
    </w:p>
    <w:p>
      <w:pPr>
        <w:pStyle w:val="Compact"/>
        <w:numPr>
          <w:ilvl w:val="0"/>
          <w:numId w:val="1008"/>
        </w:numPr>
      </w:pPr>
      <w:r>
        <w:t xml:space="preserve">Thermo Fisher / Invitrogen: C11-BODIPY 581/591 (D3861), Calceína-AM (C3099), JC-1 (T3168), CellROX Deep Red. Disponíveis via representantes locais.</w:t>
      </w:r>
    </w:p>
    <w:p>
      <w:pPr>
        <w:pStyle w:val="Compact"/>
        <w:numPr>
          <w:ilvl w:val="0"/>
          <w:numId w:val="1008"/>
        </w:numPr>
      </w:pPr>
      <w:r>
        <w:t xml:space="preserve">Dojindo: FerroOrange — importação direta via dojindo.com ou distribuidores.</w:t>
      </w:r>
    </w:p>
    <w:p>
      <w:pPr>
        <w:pStyle w:val="FirstParagraph"/>
      </w:pPr>
      <w:r>
        <w:rPr>
          <w:b/>
          <w:bCs/>
        </w:rPr>
        <w:t xml:space="preserve">BotuCrio®:</w:t>
      </w:r>
    </w:p>
    <w:p>
      <w:pPr>
        <w:pStyle w:val="Compact"/>
        <w:numPr>
          <w:ilvl w:val="0"/>
          <w:numId w:val="1009"/>
        </w:numPr>
      </w:pPr>
      <w:r>
        <w:t xml:space="preserve">Botupharma Ltda. - botupharma.com.br - Botucatu, SP (mesmo município que a FMVZ/UNESP). Produto nacional, frete mínimo.</w:t>
      </w:r>
    </w:p>
    <w:bookmarkEnd w:id="36"/>
    <w:bookmarkEnd w:id="37"/>
    <w:bookmarkStart w:id="38" w:name="X6020851af16eb6aa2d3ceb0497a5bcaad83de2e"/>
    <w:p>
      <w:pPr>
        <w:pStyle w:val="Heading1"/>
      </w:pPr>
      <w:r>
        <w:t xml:space="preserve">8. RESULTADOS ESPERADOS E POTENCIAL DE PUBLICAÇÃO</w:t>
      </w:r>
    </w:p>
    <w:p>
      <w:pPr>
        <w:pStyle w:val="FirstParagraph"/>
      </w:pPr>
      <w:r>
        <w:t xml:space="preserve">O Experimento 1 deve gerar dados originais sobre a ocorrência de ferroptose em espermatozoides equinos durante a criopreservação e sobre o efeito de inibidores farmacológicos neste processo - representando o primeiro estudo nesta combinação espécie/abordagem no mundo.</w:t>
      </w:r>
    </w:p>
    <w:p>
      <w:pPr>
        <w:pStyle w:val="BodyText"/>
      </w:pPr>
      <w:r>
        <w:t xml:space="preserve">O Experimento 2 deve gerar o primeiro mapeamento cinético de marcadores ferroptóticos durante o processamento criogênico em qualquer espécie, identificando janelas temporais de intervenção mais eficazes.</w:t>
      </w:r>
    </w:p>
    <w:p>
      <w:pPr>
        <w:pStyle w:val="BodyText"/>
      </w:pPr>
      <w:r>
        <w:t xml:space="preserve">Periódicos-alvo: Free Radical Biology &amp; Medicine (IF ~7.4), Antioxidants (IF ~7.0), Theriogenology (IF ~3.1) ou Reproduction (IF ~3.7). Em caso de resultados positivos no Exp. 3, Journal of Equine Veterinary Science. Grau de novidade: first-in-species (equinos), com potencial de first-kinetics em qualquer espécie.</w:t>
      </w:r>
    </w:p>
    <w:bookmarkEnd w:id="38"/>
    <w:bookmarkStart w:id="39" w:name="referências-bibliográficas-verificadas"/>
    <w:p>
      <w:pPr>
        <w:pStyle w:val="Heading1"/>
      </w:pPr>
      <w:r>
        <w:t xml:space="preserve">9. REFERÊNCIAS BIBLIOGRÁFICAS VERIFICADAS</w:t>
      </w:r>
    </w:p>
    <w:p>
      <w:pPr>
        <w:pStyle w:val="FirstParagraph"/>
      </w:pPr>
      <w:r>
        <w:t xml:space="preserve">Todas as referências abaixo foram verificadas via PubMed/bases de dados em abril/2026:</w:t>
      </w:r>
    </w:p>
    <w:p>
      <w:pPr>
        <w:pStyle w:val="BodyText"/>
      </w:pPr>
      <w:r>
        <w:t xml:space="preserve">Bazzano M, Gialletti R, Minero M, Tosi U, Panzani D, Bussola S. Use of nutraceuticals in the stallion: Effects on semen quality and preservation.</w:t>
      </w:r>
      <w:r>
        <w:t xml:space="preserve"> </w:t>
      </w:r>
      <w:r>
        <w:rPr>
          <w:b/>
          <w:bCs/>
        </w:rPr>
        <w:t xml:space="preserve">Reproduction in Domestic Animals</w:t>
      </w:r>
      <w:r>
        <w:t xml:space="preserve">. 2021;56(8):1133-1148. doi:10.1111/rda.13934</w:t>
      </w:r>
    </w:p>
    <w:p>
      <w:pPr>
        <w:pStyle w:val="BodyText"/>
      </w:pPr>
      <w:r>
        <w:t xml:space="preserve">Dixon SJ, Lemberg KM, Lamprecht MR, Skouta R, Zaitsev EM, Gleason CE, et al. Ferroptosis: an iron-dependent form of nonapoptotic cell death.</w:t>
      </w:r>
      <w:r>
        <w:t xml:space="preserve"> </w:t>
      </w:r>
      <w:r>
        <w:rPr>
          <w:b/>
          <w:bCs/>
        </w:rPr>
        <w:t xml:space="preserve">Cell</w:t>
      </w:r>
      <w:r>
        <w:t xml:space="preserve">. 2012;149(5):1060-1072. doi:10.1016/j.cell.2012.03.042</w:t>
      </w:r>
    </w:p>
    <w:p>
      <w:pPr>
        <w:pStyle w:val="BodyText"/>
      </w:pPr>
      <w:r>
        <w:t xml:space="preserve">Hai E, Li B, Song Y, Zhang J, Zhang J. Inhibiting ferroptosis mitigates sheep sperm freezing damage.</w:t>
      </w:r>
      <w:r>
        <w:t xml:space="preserve"> </w:t>
      </w:r>
      <w:r>
        <w:rPr>
          <w:b/>
          <w:bCs/>
        </w:rPr>
        <w:t xml:space="preserve">Frontiers in Veterinary Science</w:t>
      </w:r>
      <w:r>
        <w:t xml:space="preserve">. 2025;12:1526474. doi:10.3389/fvets.2025.1526474</w:t>
      </w:r>
    </w:p>
    <w:p>
      <w:pPr>
        <w:pStyle w:val="BodyText"/>
      </w:pPr>
      <w:r>
        <w:t xml:space="preserve">HAI, E. et al. Ferroptosis emerges as the predominant form of regulated cell death in goat sperm cryopreservation.</w:t>
      </w:r>
      <w:r>
        <w:t xml:space="preserve"> </w:t>
      </w:r>
      <w:r>
        <w:rPr>
          <w:b/>
          <w:bCs/>
        </w:rPr>
        <w:t xml:space="preserve">Journal of Animal Science and Biotechnology</w:t>
      </w:r>
      <w:r>
        <w:t xml:space="preserve">, v. 16, p. 26, 2025.</w:t>
      </w:r>
    </w:p>
    <w:p>
      <w:pPr>
        <w:pStyle w:val="BodyText"/>
      </w:pPr>
      <w:r>
        <w:t xml:space="preserve">HAI, E. et al. Autophagic degradation of GPX4 mediates ferroptosis during sheep sperm cryopreservation.</w:t>
      </w:r>
      <w:r>
        <w:t xml:space="preserve"> </w:t>
      </w:r>
      <w:r>
        <w:rPr>
          <w:b/>
          <w:bCs/>
        </w:rPr>
        <w:t xml:space="preserve">Veterinary Sciences</w:t>
      </w:r>
      <w:r>
        <w:t xml:space="preserve">, v. 12, n. 5, p. 490, 2025.</w:t>
      </w:r>
    </w:p>
    <w:p>
      <w:pPr>
        <w:pStyle w:val="BodyText"/>
      </w:pPr>
      <w:r>
        <w:t xml:space="preserve">Li Y, Liu X, Cheng Y, Li J, Zhou Y, Guo Q. Liproxstatin-1 improves boar sperm quality during in vitro liquid preservation at 17°C, associated with reduction of oxidative stress and ferroptosis markers.</w:t>
      </w:r>
      <w:r>
        <w:t xml:space="preserve"> </w:t>
      </w:r>
      <w:r>
        <w:rPr>
          <w:b/>
          <w:bCs/>
        </w:rPr>
        <w:t xml:space="preserve">Frontiers in Veterinary Science</w:t>
      </w:r>
      <w:r>
        <w:t xml:space="preserve">. 2025;12:1611661. doi:10.3389/fvets.2025.1611661</w:t>
      </w:r>
    </w:p>
    <w:p>
      <w:pPr>
        <w:pStyle w:val="BodyText"/>
      </w:pPr>
      <w:r>
        <w:t xml:space="preserve">Macías García B, González Fernández L, Ortega Ferrusola C, Morillo Rodriguez A, Gallardo Bolaños JM, Rodríguez Martínez H, et al. Membrane lipids of the stallion spermatozoon in relation to sperm quality and susceptibility to lipid peroxidation.</w:t>
      </w:r>
      <w:r>
        <w:t xml:space="preserve"> </w:t>
      </w:r>
      <w:r>
        <w:rPr>
          <w:b/>
          <w:bCs/>
        </w:rPr>
        <w:t xml:space="preserve">Reproduction in Domestic Animals</w:t>
      </w:r>
      <w:r>
        <w:t xml:space="preserve">. 2011;46(1):141-148. doi:10.1111/j.1439-0531.2010.01609.x</w:t>
      </w:r>
    </w:p>
    <w:p>
      <w:pPr>
        <w:pStyle w:val="BodyText"/>
      </w:pPr>
      <w:r>
        <w:t xml:space="preserve">Martín-Cano FE, Gaitskell-Phillips G, da Silva-Álvarez E, Silva-Rodríguez A, Castillejo-Rufo A, Tapia JA, et al. The concentration of glucose in the media influences the susceptibility of stallion spermatozoa to ferroptosis.</w:t>
      </w:r>
      <w:r>
        <w:t xml:space="preserve"> </w:t>
      </w:r>
      <w:r>
        <w:rPr>
          <w:b/>
          <w:bCs/>
        </w:rPr>
        <w:t xml:space="preserve">Reproduction</w:t>
      </w:r>
      <w:r>
        <w:t xml:space="preserve">. 2024;167(1):e230067. doi:10.1530/REP-23-0067</w:t>
      </w:r>
    </w:p>
    <w:p>
      <w:pPr>
        <w:pStyle w:val="BodyText"/>
      </w:pPr>
      <w:r>
        <w:t xml:space="preserve">Moretti E, Signorini C, Liguori L, Corsaro R, Nerucci F, Fiorini M, Menchiari S, Collodel G. Evaluation of known markers of ferroptosis in semen of patients with different reproductive pathologies and fertile men.</w:t>
      </w:r>
      <w:r>
        <w:t xml:space="preserve"> </w:t>
      </w:r>
      <w:r>
        <w:rPr>
          <w:b/>
          <w:bCs/>
        </w:rPr>
        <w:t xml:space="preserve">Cells</w:t>
      </w:r>
      <w:r>
        <w:t xml:space="preserve">. 2024;13(17):1490. doi:10.3390/cells13171490</w:t>
      </w:r>
    </w:p>
    <w:p>
      <w:pPr>
        <w:pStyle w:val="BodyText"/>
      </w:pPr>
      <w:r>
        <w:t xml:space="preserve">Peña FJ, O’Flaherty C, Ortiz Rodríguez JM, Martín Cano FE, Gaitskell-Phillips GL, Gil MC, Ortega Ferrusola C. Redox regulation and oxidative stress: The particular case of the stallion spermatozoa.</w:t>
      </w:r>
      <w:r>
        <w:t xml:space="preserve"> </w:t>
      </w:r>
      <w:r>
        <w:rPr>
          <w:b/>
          <w:bCs/>
        </w:rPr>
        <w:t xml:space="preserve">Antioxidants</w:t>
      </w:r>
      <w:r>
        <w:t xml:space="preserve">. 2019;8(11):567. doi:10.3390/antiox8110567</w:t>
      </w:r>
    </w:p>
    <w:p>
      <w:pPr>
        <w:pStyle w:val="BodyText"/>
      </w:pPr>
      <w:r>
        <w:t xml:space="preserve">Tang D, Chen X, Kang R, Kroemer G. Ferroptosis: molecular mechanisms and health implications.</w:t>
      </w:r>
      <w:r>
        <w:t xml:space="preserve"> </w:t>
      </w:r>
      <w:r>
        <w:rPr>
          <w:b/>
          <w:bCs/>
        </w:rPr>
        <w:t xml:space="preserve">Cell Research</w:t>
      </w:r>
      <w:r>
        <w:t xml:space="preserve">. 2021;31(2):107-125. doi:10.1038/s41422-020-00441-1</w:t>
      </w:r>
    </w:p>
    <w:p>
      <w:pPr>
        <w:pStyle w:val="BodyText"/>
      </w:pPr>
      <w:r>
        <w:t xml:space="preserve">WANG, Y. et al. Sperm freezing damage: the role of regulated cell death.</w:t>
      </w:r>
      <w:r>
        <w:t xml:space="preserve"> </w:t>
      </w:r>
      <w:r>
        <w:rPr>
          <w:b/>
          <w:bCs/>
        </w:rPr>
        <w:t xml:space="preserve">Cell Death Discovery</w:t>
      </w:r>
      <w:r>
        <w:t xml:space="preserve">, v. 10, p. 239, 2024.</w:t>
      </w:r>
    </w:p>
    <w:p>
      <w:pPr>
        <w:pStyle w:val="BodyText"/>
      </w:pPr>
      <w:r>
        <w:t xml:space="preserve">Yuan W, Sun Z, Ji G, Hu H. Emerging roles of ferroptosis in male reproductive diseases.</w:t>
      </w:r>
      <w:r>
        <w:t xml:space="preserve"> </w:t>
      </w:r>
      <w:r>
        <w:rPr>
          <w:b/>
          <w:bCs/>
        </w:rPr>
        <w:t xml:space="preserve">Cell Death Discovery</w:t>
      </w:r>
      <w:r>
        <w:t xml:space="preserve">. 2023;9(1):358. doi:10.1038/s41420-023-01665-x</w:t>
      </w:r>
    </w:p>
    <w:p>
      <w:pPr>
        <w:pStyle w:val="BodyText"/>
      </w:pPr>
      <w:r>
        <w:t xml:space="preserve">Zilka O, Shah R, Li B, Friedmann Angeli JP, Griesser M, Conrad M, Pratt DA. On the mechanism of cytoprotection by ferrostatin-1 and liproxstatin-1 and the role of lipid peroxidation in ferroptotic cell death.</w:t>
      </w:r>
      <w:r>
        <w:t xml:space="preserve"> </w:t>
      </w:r>
      <w:r>
        <w:rPr>
          <w:b/>
          <w:bCs/>
        </w:rPr>
        <w:t xml:space="preserve">ACS Central Science</w:t>
      </w:r>
      <w:r>
        <w:t xml:space="preserve">. 2017;3(3):232-243. doi:10.1021/acscentsci.7b00028</w:t>
      </w:r>
    </w:p>
    <w:p>
      <w:pPr>
        <w:pStyle w:val="BodyText"/>
      </w:pPr>
      <w:r>
        <w:t xml:space="preserve">Zhou N, Bao J, Ning Y. Mechanism and therapeutic target of ferroptosis in male reproduction.</w:t>
      </w:r>
      <w:r>
        <w:t xml:space="preserve"> </w:t>
      </w:r>
      <w:r>
        <w:rPr>
          <w:b/>
          <w:bCs/>
        </w:rPr>
        <w:t xml:space="preserve">Frontiers in Endocrinology</w:t>
      </w:r>
      <w:r>
        <w:t xml:space="preserve">. 2023;14:1154839. doi:10.3389/fendo.2023.1154839</w:t>
      </w:r>
    </w:p>
    <w:p>
      <w:pPr>
        <w:pStyle w:val="BodyText"/>
      </w:pPr>
      <w:r>
        <w:t xml:space="preserve">Zhou X, Zheng F, Xu X, et al. Ferroptosis: mechanisms and therapeutic targets.</w:t>
      </w:r>
      <w:r>
        <w:t xml:space="preserve"> </w:t>
      </w:r>
      <w:r>
        <w:rPr>
          <w:b/>
          <w:bCs/>
        </w:rPr>
        <w:t xml:space="preserve">MedComm</w:t>
      </w:r>
      <w:r>
        <w:t xml:space="preserve">. 2024;5(11):e70010. doi:10.1002/mco2.70010</w:t>
      </w:r>
    </w:p>
    <w:p>
      <w:pPr>
        <w:pStyle w:val="BodyText"/>
      </w:pPr>
      <w:r>
        <w:t xml:space="preserve">Contreras-Mellado P, Merie J, Matus CE, et al. Oxidative stress induces changes in molecular markers associated with ferroptosis in human spermatozoa.</w:t>
      </w:r>
      <w:r>
        <w:t xml:space="preserve"> </w:t>
      </w:r>
      <w:r>
        <w:rPr>
          <w:b/>
          <w:bCs/>
        </w:rPr>
        <w:t xml:space="preserve">World Journal of Men’s Health</w:t>
      </w:r>
      <w:r>
        <w:t xml:space="preserve">. 2025;43(2). doi:10.5534/wjmh.240085</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2026-04-04T19:10:48Z</dcterms:created>
  <dcterms:modified xsi:type="dcterms:W3CDTF">2026-04-04T19:10:48Z</dcterms:modified>
</cp:coreProperties>
</file>

<file path=docProps/custom.xml><?xml version="1.0" encoding="utf-8"?>
<Properties xmlns="http://schemas.openxmlformats.org/officeDocument/2006/custom-properties" xmlns:vt="http://schemas.openxmlformats.org/officeDocument/2006/docPropsVTypes"/>
</file>