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projeto-de-pesquisa-doutorado-fapesp"/>
    <w:p>
      <w:pPr>
        <w:pStyle w:val="Heading1"/>
      </w:pPr>
      <w:r>
        <w:t xml:space="preserve">PROJETO DE PESQUISA — DOUTORADO FAPESP</w:t>
      </w:r>
    </w:p>
    <w:bookmarkStart w:id="9" w:name="título"/>
    <w:p>
      <w:pPr>
        <w:pStyle w:val="Heading2"/>
      </w:pPr>
      <w:r>
        <w:t xml:space="preserve">Título</w:t>
      </w:r>
    </w:p>
    <w:p>
      <w:pPr>
        <w:pStyle w:val="FirstParagraph"/>
      </w:pPr>
      <w:r>
        <w:rPr>
          <w:b/>
          <w:bCs/>
        </w:rPr>
        <w:t xml:space="preserve">Senescência reprodutiva em garanhões: estresse oxidativo sistêmico e seminal, perfil hormonal, parâmetros espermáticos e proteômica do plasma seminal em animais adultos (5–10 anos) e senis (≥ 16 anos)</w:t>
      </w:r>
    </w:p>
    <w:p>
      <w:r>
        <w:pict>
          <v:rect style="width:0;height:1.5pt" o:hralign="center" o:hrstd="t" o:hr="t"/>
        </w:pict>
      </w:r>
    </w:p>
    <w:bookmarkEnd w:id="9"/>
    <w:bookmarkStart w:id="10" w:name="candidata"/>
    <w:p>
      <w:pPr>
        <w:pStyle w:val="Heading2"/>
      </w:pPr>
      <w:r>
        <w:t xml:space="preserve">Candidata</w:t>
      </w:r>
    </w:p>
    <w:p>
      <w:pPr>
        <w:pStyle w:val="FirstParagraph"/>
      </w:pPr>
      <w:r>
        <w:t xml:space="preserve">Iara [sobrenome]</w:t>
      </w:r>
    </w:p>
    <w:bookmarkEnd w:id="10"/>
    <w:bookmarkStart w:id="11" w:name="orientador"/>
    <w:p>
      <w:pPr>
        <w:pStyle w:val="Heading2"/>
      </w:pPr>
      <w:r>
        <w:t xml:space="preserve">Orientador</w:t>
      </w:r>
    </w:p>
    <w:p>
      <w:pPr>
        <w:pStyle w:val="FirstParagraph"/>
      </w:pPr>
      <w:r>
        <w:t xml:space="preserve">Prof. Dr. Gabriel Monteiro</w:t>
      </w:r>
    </w:p>
    <w:bookmarkEnd w:id="11"/>
    <w:bookmarkStart w:id="12" w:name="programa-de-pós-graduação"/>
    <w:p>
      <w:pPr>
        <w:pStyle w:val="Heading2"/>
      </w:pPr>
      <w:r>
        <w:t xml:space="preserve">Programa de Pós-Graduação</w:t>
      </w:r>
    </w:p>
    <w:p>
      <w:pPr>
        <w:pStyle w:val="FirstParagraph"/>
      </w:pPr>
      <w:r>
        <w:t xml:space="preserve">Medicina Veterinária — Reprodução Animal</w:t>
      </w:r>
      <w:r>
        <w:t xml:space="preserve"> </w:t>
      </w:r>
      <w:r>
        <w:t xml:space="preserve">Faculdade de Medicina Veterinária e Zootecnia — UNESP Botucatu</w:t>
      </w:r>
    </w:p>
    <w:bookmarkEnd w:id="12"/>
    <w:bookmarkStart w:id="13" w:name="linha-de-pesquisa"/>
    <w:p>
      <w:pPr>
        <w:pStyle w:val="Heading2"/>
      </w:pPr>
      <w:r>
        <w:t xml:space="preserve">Linha de Pesquisa</w:t>
      </w:r>
    </w:p>
    <w:p>
      <w:pPr>
        <w:pStyle w:val="FirstParagraph"/>
      </w:pPr>
      <w:r>
        <w:t xml:space="preserve">Andrologia Equina — Senescência Reprodutiva</w:t>
      </w:r>
    </w:p>
    <w:p>
      <w:r>
        <w:pict>
          <v:rect style="width:0;height:1.5pt" o:hralign="center" o:hrstd="t" o:hr="t"/>
        </w:pict>
      </w:r>
    </w:p>
    <w:bookmarkEnd w:id="13"/>
    <w:bookmarkStart w:id="14" w:name="resumo"/>
    <w:p>
      <w:pPr>
        <w:pStyle w:val="Heading2"/>
      </w:pPr>
      <w:r>
        <w:t xml:space="preserve">1. RESUMO</w:t>
      </w:r>
    </w:p>
    <w:p>
      <w:pPr>
        <w:pStyle w:val="FirstParagraph"/>
      </w:pPr>
      <w:r>
        <w:t xml:space="preserve">A degeneração testicular idiopática (ITD —</w:t>
      </w:r>
      <w:r>
        <w:t xml:space="preserve"> </w:t>
      </w:r>
      <w:r>
        <w:rPr>
          <w:i/>
          <w:iCs/>
        </w:rPr>
        <w:t xml:space="preserve">Idiopathic Testicular Degeneration</w:t>
      </w:r>
      <w:r>
        <w:t xml:space="preserve">) é a principal causa de subfertilidade em garanhões de meia-idade e idosos, com impacto econômico expressivo na equideocultura. Apesar de evidências crescentes em humanos e roedores indicarem que o estresse oxidativo (EO) é mecanismo central do envelhecimento reprodutivo masculino, nenhum estudo correlacionou sistematicamente marcadores de EO sanguíneo com os seminais em garanhões estratificados por faixa etária. O presente projeto propõe investigar, de forma integrada e inédita, as alterações reprodutivas associadas à senescência em garanhões, comparando 12 animais adultos (5–10 anos) e 12 senis (≥ 16 anos). Serão avaliados: exame andrológico completo com biometria testicular, ultrassonografia Doppler e termografia escrotal; parâmetros espermáticos por análise computadorizada (CASA), integridade de membrana plasmática (IMP — CFDA/PI) e citometria de fluxo (sete protocolos); fragmentação de DNA espermático por SCSA; biomarcadores de EO sistêmico (TBARS, SOD, CAT, GPx, TAC) no sangue e EO seminal (TBARS, ROS, C11-BODIPY) no sêmen; perfil hormonal (testosterona, estradiol, inibina B); avaliação em sêmen fresco (T0), refrigerado (T0, 24h, 48h — comparação BotuSemen® vs BotuSpecial®) e congelado (T0 e T30 pós-descongelação a 37°C/30s em BotuCrio®); proteômica condicional do plasma seminal por LC-MS/MS; e constituição de biobanco de DNA espermático a −80°C para futuros estudos de epigenômica. Adicionalmente, os garanhões serão classificados quanto à resistência à refrigeração (Good Cooler / Bad Cooler — GC/BC), permitindo análise fatorial 2×2 (idade × refrigerabilidade). A hipótese central é que o envelhecimento compromete simultaneamente o eixo endócrino, o ambiente redox sistêmico e seminal e a qualidade espermática, e que os marcadores oxidativos sanguíneos se correlacionam com os seminais — correlação nunca investigada sistematicamente em garanhões por faixa etária.</w:t>
      </w:r>
    </w:p>
    <w:p>
      <w:pPr>
        <w:pStyle w:val="BodyText"/>
      </w:pPr>
      <w:r>
        <w:rPr>
          <w:b/>
          <w:bCs/>
        </w:rPr>
        <w:t xml:space="preserve">Palavras-chave:</w:t>
      </w:r>
      <w:r>
        <w:t xml:space="preserve"> </w:t>
      </w:r>
      <w:r>
        <w:t xml:space="preserve">garanhão; senescência reprodutiva; estresse oxidativo; TBARS; proteômica seminal; citometria de fluxo; degeneração testicular idiopática; criopreservação.</w:t>
      </w:r>
    </w:p>
    <w:p>
      <w:r>
        <w:pict>
          <v:rect style="width:0;height:1.5pt" o:hralign="center" o:hrstd="t" o:hr="t"/>
        </w:pict>
      </w:r>
    </w:p>
    <w:bookmarkEnd w:id="14"/>
    <w:bookmarkStart w:id="24" w:name="introdução-e-justificativa"/>
    <w:p>
      <w:pPr>
        <w:pStyle w:val="Heading2"/>
      </w:pPr>
      <w:r>
        <w:t xml:space="preserve">2. INTRODUÇÃO E JUSTIFICATIVA</w:t>
      </w:r>
    </w:p>
    <w:bookmarkStart w:id="15" w:name="o-garanhão-e-a-eficiência-reprodutiva"/>
    <w:p>
      <w:pPr>
        <w:pStyle w:val="Heading3"/>
      </w:pPr>
      <w:r>
        <w:t xml:space="preserve">2.1 O garanhão e a eficiência reprodutiva</w:t>
      </w:r>
    </w:p>
    <w:p>
      <w:pPr>
        <w:pStyle w:val="FirstParagraph"/>
      </w:pPr>
      <w:r>
        <w:t xml:space="preserve">A fertilidade do garanhão é fator crítico tanto para seu valor econômico quanto para sua influência sobre a população reprodutiva; portanto, variáveis capazes de reduzi-la devem ser identificadas e mitigadas como parte essencial do manejo reprodutivo (KHAN et al., 2025). A avaliação da saúde testicular e a manutenção da longevidade reprodutiva constituem os objetivos primários do manejo do reprodutor equino (WAQAS; ARROYO; TIBARY, 2024). Na indústria equina, garanhões geneticamente valiosos mantêm seu papel como reprodutores até idade avançada, de modo que a degeneração testicular relacionada ao envelhecimento tem impacto negativo significativo na carreira reprodutiva do animal e resulta em perdas econômicas para a indústria equina (WOODWARD et al., 2023).</w:t>
      </w:r>
    </w:p>
    <w:bookmarkEnd w:id="15"/>
    <w:bookmarkStart w:id="16" w:name="degeneração-testicular-idiopática-itd"/>
    <w:p>
      <w:pPr>
        <w:pStyle w:val="Heading3"/>
      </w:pPr>
      <w:r>
        <w:t xml:space="preserve">2.2 Degeneração testicular idiopática (ITD)</w:t>
      </w:r>
    </w:p>
    <w:p>
      <w:pPr>
        <w:pStyle w:val="FirstParagraph"/>
      </w:pPr>
      <w:r>
        <w:t xml:space="preserve">A degeneração testicular é causa comum de subfertilidade e infertilidade em garanhões, podendo ser dividida em duas categorias: os casos resultantes de agressão testicular conhecida e a degeneração testicular idiopática, relacionada à idade (TURNER, 2007). A ITD é uma doença tecido-autóloga — o problema reside no próprio parênquima testicular, não no eixo hipotálamo-hipófise-gonadal (HHG). Em experimentos de xenoenxerto, tecido testicular degenerado de garanhões idosos transplantado para camundongos imunodeficientes com ambiente hormonal jovem continuou degenerando e não reconstituiu espermatogênese em nenhum grau, diferentemente de tecido criptorquídeo e pré-puberal que responderam positivamente ao enxerto (TURNER et al., 2010). Esse achado demonstra que a ausência de espermatogênese em testículos de garanhões com degeneração senil avançada é intrínseca ao tecido e não pode ser resgatada restituindo o tecido ao ambiente favorável.</w:t>
      </w:r>
    </w:p>
    <w:p>
      <w:pPr>
        <w:pStyle w:val="BodyText"/>
      </w:pPr>
      <w:r>
        <w:t xml:space="preserve">Clinicamente, a ITD progride em quatro estágios: (1) redução discreta do output espermático sem alteração visível do tamanho testicular; (2) redução do volume testicular com piora de motilidade e morfologia; (3) surgimento de células germinativas imaturas no ejaculado com alterações hormonais — queda de estrogênio, testosterona e inibina B e elevação de FSH e LH; (4) fragmentação de DNA espermático com volume testicular inferior a 60% do tamanho que o animal apresentava quando jovem (TURNER, 2019). Não existe tratamento comprovado para a ITD, e estimulação hormonal é ineficaz justamente por tratar-se de doença tecido-autóloga (TURNER; ZENG, 2012).</w:t>
      </w:r>
    </w:p>
    <w:bookmarkEnd w:id="16"/>
    <w:bookmarkStart w:id="17" w:name="X7e7d83e251071fe23a5d8088bf2c774e6f242ed"/>
    <w:p>
      <w:pPr>
        <w:pStyle w:val="Heading3"/>
      </w:pPr>
      <w:r>
        <w:t xml:space="preserve">2.3 Inflamação crônica como mecanismo da degeneração senil</w:t>
      </w:r>
    </w:p>
    <w:p>
      <w:pPr>
        <w:pStyle w:val="FirstParagraph"/>
      </w:pPr>
      <w:r>
        <w:t xml:space="preserve">Woodward et al. (2023) realizaram sequenciamento de transcriptoma completo (RNA-seq, Illumina HiSeq 2000) de tecido testicular de garanhões normais (n = 3) e subférteis com degeneração testicular relacionada à idade (n = 4, idades de 28–30 anos). A análise bioinformática identificou regulação positiva de vias inflamatórias mediadas por citocinas — particularmente CSF1 — nos testículos degenerados, bem como desregulação de SHISA6 (via Wnt/β-catenina), gene relacionado à auto-renovação de espermatogônias-tronco. Esses dados sugerem modelo de</w:t>
      </w:r>
      <w:r>
        <w:t xml:space="preserve"> </w:t>
      </w:r>
      <w:r>
        <w:rPr>
          <w:i/>
          <w:iCs/>
        </w:rPr>
        <w:t xml:space="preserve">inflammaging</w:t>
      </w:r>
      <w:r>
        <w:t xml:space="preserve"> </w:t>
      </w:r>
      <w:r>
        <w:t xml:space="preserve">testicular — inflamação crônica de baixo grau como mecanismo central da degeneração. A questão que permanece é se esse</w:t>
      </w:r>
      <w:r>
        <w:t xml:space="preserve"> </w:t>
      </w:r>
      <w:r>
        <w:rPr>
          <w:i/>
          <w:iCs/>
        </w:rPr>
        <w:t xml:space="preserve">inflammaging</w:t>
      </w:r>
      <w:r>
        <w:t xml:space="preserve"> </w:t>
      </w:r>
      <w:r>
        <w:t xml:space="preserve">intratesticular se reflete em marcadores oxidativos acessíveis sistemicamente (sangue) e localmente (plasma seminal) — conexão que o presente projeto propõe investigar.</w:t>
      </w:r>
    </w:p>
    <w:bookmarkEnd w:id="17"/>
    <w:bookmarkStart w:id="18" w:name="X4e629cc1e87d9454619cd2e1cfc858780798dbf"/>
    <w:p>
      <w:pPr>
        <w:pStyle w:val="Heading3"/>
      </w:pPr>
      <w:r>
        <w:t xml:space="preserve">2.4 Alterações nos parâmetros espermáticos com a idade</w:t>
      </w:r>
    </w:p>
    <w:p>
      <w:pPr>
        <w:pStyle w:val="FirstParagraph"/>
      </w:pPr>
      <w:r>
        <w:t xml:space="preserve">Al-Kheraije et al. (2021) avaliaram 108 ejaculados de nove garanhões Árabes divididos em Grupo I (4–6 anos, n = 3), Grupo II (8–11 anos, n = 3) e Grupo III (15–22 anos, n = 3), com coletas mensais durante um ano, e demonstraram que os Grupos I e II foram superiores ao Grupo III em contagem espermática, viabilidade, motilidade total e progressiva e proporção de espermatozoides morfologicamente normais (P &lt; 0,05), com o Grupo III apresentando maior proporção de defeitos espermáticos secundários. A qualidade seminal na primavera e verão foi superior à do outono e inverno.</w:t>
      </w:r>
    </w:p>
    <w:p>
      <w:pPr>
        <w:pStyle w:val="BodyText"/>
      </w:pPr>
      <w:r>
        <w:t xml:space="preserve">Do ponto de vista funcional, Darr et al. (2016) mensuraram função mitocondrial, motilidade por CASA e produção de ROS em 88 ejaculados congelados e descongelados de 19 garanhões com 4 a 19 anos, documentando que a motilidade total pós-descongelamento atingiu pico em torno dos 12 anos e declinou de forma evidente após os 13 anos, com aumento concomitante da produção de ROS. Em estudo complementar com 37 garanhões Quarto de Milha (3–24 anos), Darr et al. (2017) demonstraram que maior número de cópias do gene citocromo b (CYTB) do DNA mitocondrial (mtDNA) estava associado a menor probabilidade de movimento espermático, com redução de 4% para cada unidade de aumento nas cópias de CYTB (P = 0,001).</w:t>
      </w:r>
    </w:p>
    <w:p>
      <w:pPr>
        <w:pStyle w:val="BodyText"/>
      </w:pPr>
      <w:r>
        <w:t xml:space="preserve">Harris et al. (2023), por meio de revisão sistemática e meta-regressão com 229 artigos (1991–2021), demonstraram que a motilidade progressiva espermática equina declinou significativamente entre 1984 e 2019, com queda de 21,34% no modelo de meta-regressão refinado que controlou raça, localização geográfica, hemisfério e equipamento CASA, indicando que as populações equinas apresentam risco de declínio comparável ao descrito em humanos.</w:t>
      </w:r>
    </w:p>
    <w:bookmarkEnd w:id="18"/>
    <w:bookmarkStart w:id="19" w:name="X9ec65cd5b859d9008218a3fb1d5472c98f35dee"/>
    <w:p>
      <w:pPr>
        <w:pStyle w:val="Heading3"/>
      </w:pPr>
      <w:r>
        <w:t xml:space="preserve">2.5 Estresse oxidativo como mecanismo central</w:t>
      </w:r>
    </w:p>
    <w:p>
      <w:pPr>
        <w:pStyle w:val="FirstParagraph"/>
      </w:pPr>
      <w:r>
        <w:t xml:space="preserve">O estresse oxidativo é definido como o desequilíbrio entre a produção de espécies reativas de oxigênio (ROS) e a capacidade antioxidante do organismo. Os espermatozoides são especialmente vulneráveis ao EO por dois motivos estruturais: o elevado conteúdo de ácidos graxos poli-insaturados (PUFAs) nas membranas, que os tornam alvos preferenciais da lipoperoxidação, e a ausência de mecanismos eficientes de reparo de DNA. A lipoperoxidação produz malondialdeído (MDA), quantificável pelo ensaio TBARS.</w:t>
      </w:r>
    </w:p>
    <w:p>
      <w:pPr>
        <w:pStyle w:val="BodyText"/>
      </w:pPr>
      <w:r>
        <w:t xml:space="preserve">Contudo, é fundamental distinguir entre</w:t>
      </w:r>
      <w:r>
        <w:t xml:space="preserve"> </w:t>
      </w:r>
      <w:r>
        <w:rPr>
          <w:i/>
          <w:iCs/>
        </w:rPr>
        <w:t xml:space="preserve">eustresse</w:t>
      </w:r>
      <w:r>
        <w:t xml:space="preserve"> </w:t>
      </w:r>
      <w:r>
        <w:t xml:space="preserve">e</w:t>
      </w:r>
      <w:r>
        <w:t xml:space="preserve"> </w:t>
      </w:r>
      <w:r>
        <w:rPr>
          <w:i/>
          <w:iCs/>
        </w:rPr>
        <w:t xml:space="preserve">distresse</w:t>
      </w:r>
      <w:r>
        <w:t xml:space="preserve"> </w:t>
      </w:r>
      <w:r>
        <w:t xml:space="preserve">oxidativo. As ROS em níveis fisiológicos são sinalizadores essenciais para a capacitação espermática, hiperativação motora e fusão espermatozoide-oócito. O problema é o excesso — quando a produção supera as defesas antioxidantes e inicia cascatas irreversíveis de dano. Espermatozoides de garanhão são altamente dependentes de fosforilação oxidativa (OXPHOS), diferentemente de bovinos e humanos que utilizam mais glicólise, o que os torna especialmente vulneráveis à disfunção mitocondrial com o envelhecimento (DARR et al., 2016).</w:t>
      </w:r>
    </w:p>
    <w:p>
      <w:pPr>
        <w:pStyle w:val="BodyText"/>
      </w:pPr>
      <w:r>
        <w:t xml:space="preserve">Com o envelhecimento, três processos convergem para estreitar a janela entre eustresse e distresse: (1)</w:t>
      </w:r>
      <w:r>
        <w:t xml:space="preserve"> </w:t>
      </w:r>
      <w:r>
        <w:rPr>
          <w:b/>
          <w:bCs/>
        </w:rPr>
        <w:t xml:space="preserve">disfunção mitocondrial progressiva</w:t>
      </w:r>
      <w:r>
        <w:t xml:space="preserve"> </w:t>
      </w:r>
      <w:r>
        <w:t xml:space="preserve">— a cadeia transportadora de elétrons acumula dano, aumentando o vazamento de elétrons e gerando mais superóxido por unidade de ATP; (2)</w:t>
      </w:r>
      <w:r>
        <w:t xml:space="preserve"> </w:t>
      </w:r>
      <w:r>
        <w:rPr>
          <w:b/>
          <w:bCs/>
        </w:rPr>
        <w:t xml:space="preserve">depleção do sistema antioxidante endógeno</w:t>
      </w:r>
      <w:r>
        <w:t xml:space="preserve"> </w:t>
      </w:r>
      <w:r>
        <w:t xml:space="preserve">— as atividades de SOD, CAT e do sistema glutationa declinam progressivamente; (3)</w:t>
      </w:r>
      <w:r>
        <w:t xml:space="preserve"> </w:t>
      </w:r>
      <w:r>
        <w:rPr>
          <w:b/>
          <w:bCs/>
        </w:rPr>
        <w:t xml:space="preserve">acúmulo de dano oxidativo em macromoléculas</w:t>
      </w:r>
      <w:r>
        <w:t xml:space="preserve"> </w:t>
      </w:r>
      <w:r>
        <w:t xml:space="preserve">— a peroxidação dos PUFAs de membrana gera 4-hidroxinonenal (4-HNE) como produto secundário prevalente em equinos (PEÑA et al., 2019).</w:t>
      </w:r>
    </w:p>
    <w:bookmarkEnd w:id="19"/>
    <w:bookmarkStart w:id="20" w:name="Xf1922762dc88656de546d7c7128efde3ebffa9e"/>
    <w:p>
      <w:pPr>
        <w:pStyle w:val="Heading3"/>
      </w:pPr>
      <w:r>
        <w:t xml:space="preserve">2.6 Estresse oxidativo sistêmico e seminal: a ponte que falta</w:t>
      </w:r>
    </w:p>
    <w:p>
      <w:pPr>
        <w:pStyle w:val="FirstParagraph"/>
      </w:pPr>
      <w:r>
        <w:t xml:space="preserve">No plano sistêmico, Asahi, Arai e Tanaka (2024) avaliaram cavalos divididos em grupos jovem (&lt; 10 anos), meia-idade (10–16 anos) e idoso (&gt; 17 anos), todos com escore de condição corporal normal, e documentaram que o MDA plasmático foi significativamente maior e a SOD plasmática significativamente menor no grupo idoso.</w:t>
      </w:r>
    </w:p>
    <w:p>
      <w:pPr>
        <w:pStyle w:val="BodyText"/>
      </w:pPr>
      <w:r>
        <w:t xml:space="preserve">No sêmen, El-Sisy et al. (2019) avaliaram garanhões Árabes jovens (5–6 anos, n = 6), meia-idade (11–12 anos, n = 6) e velhos (15–20 anos, n = 6) e documentaram correlação negativa entre MDA seminal e normalidade espermática (r = −0,69; P &lt; 0,05) e correlação positiva entre atividade de catalase sanguínea e motilidade espermática (r = 0,83; P &lt; 0,001). Morte et al. (2008) demonstraram que o TBARS no plasma seminal constitui indicador geral de dano espermático em garanhões.</w:t>
      </w:r>
    </w:p>
    <w:p>
      <w:pPr>
        <w:pStyle w:val="BodyText"/>
      </w:pPr>
      <w:r>
        <w:t xml:space="preserve">Em humanos, Benedetti et al. (2012) demonstraram que a TAC sanguínea correlaciona-se positivamente com a TAC seminal e com parâmetros de qualidade espermática em 12 homens férteis e 31 inférteis idiopáticos. Em camundongos, Selvaratnam e Robaire (2016) utilizaram animais jovens (3 meses) e idosos (18 meses) nocautes para SOD1 e demonstraram que essa enzima é crítica para a manutenção da qualidade das células germinativas com o envelhecimento.</w:t>
      </w:r>
    </w:p>
    <w:p>
      <w:pPr>
        <w:pStyle w:val="BodyText"/>
      </w:pPr>
      <w:r>
        <w:rPr>
          <w:b/>
          <w:bCs/>
        </w:rPr>
        <w:t xml:space="preserve">A lacuna que este projeto preenche:</w:t>
      </w:r>
      <w:r>
        <w:t xml:space="preserve"> </w:t>
      </w:r>
      <w:r>
        <w:t xml:space="preserve">nenhum estudo correlacionou sistematicamente os marcadores de EO sanguíneo com os seminais em garanhões estratificados por faixa etária. A ponte entre fisiologia sistêmica e função reprodutiva local permanece inexplorada na espécie equina.</w:t>
      </w:r>
    </w:p>
    <w:bookmarkEnd w:id="20"/>
    <w:bookmarkStart w:id="21" w:name="X3dbd28213c7b4cb2a1c445f03031f7be1fc697b"/>
    <w:p>
      <w:pPr>
        <w:pStyle w:val="Heading3"/>
      </w:pPr>
      <w:r>
        <w:t xml:space="preserve">2.7 Perfil hormonal na senescência testicular</w:t>
      </w:r>
    </w:p>
    <w:p>
      <w:pPr>
        <w:pStyle w:val="FirstParagraph"/>
      </w:pPr>
      <w:r>
        <w:t xml:space="preserve">Stewart e Roser (1998), em estudo com garanhões férteis, subférteis e inférteis, demonstraram que as concentrações plasmáticas de inibina imunorreativa, estradiol e estrógenos conjugados foram significativamente menores (P &lt; 0,01) e as de FSH e LH significativamente maiores (P &lt; 0,05) nos garanhões inférteis. Nagata et al. (1998) demonstraram experimentalmente que a inibina circulante no garanhão é predominantemente de origem testicular. A inibina B é o marcador endócrino mais direto e específico de integridade do epitélio seminífero e função Sertoliana — mais sensível que a queda de testosterona, que pode demorar a se manifestar. No presente projeto, o painel hormonal priorizará testosterona, estradiol e inibina B como marcadores nucleares, considerando que a inibina B isoladamente reflete o status Sertoliano com alta especificidade.</w:t>
      </w:r>
    </w:p>
    <w:bookmarkEnd w:id="21"/>
    <w:bookmarkStart w:id="22" w:name="avaliação-por-imagem"/>
    <w:p>
      <w:pPr>
        <w:pStyle w:val="Heading3"/>
      </w:pPr>
      <w:r>
        <w:t xml:space="preserve">2.8 Avaliação por imagem</w:t>
      </w:r>
    </w:p>
    <w:p>
      <w:pPr>
        <w:pStyle w:val="FirstParagraph"/>
      </w:pPr>
      <w:r>
        <w:t xml:space="preserve">Waqas, Arroyo e Tibary (2024) descrevem que a ultrassonografia Doppler da artéria capsular testicular permite avaliação de parâmetros vasculares — índice de resistência (IR) e índice de pulsatilidade (IP) — correlacionados com qualidade espermática, com garanhões subférteis tendendo a apresentar valores elevados de IP e IR. A termografia escrotal é técnica não-invasiva para avaliação da termorregulação testicular, relevante porque a fibrose pode comprometer a microvasculatura e a dissipação de calor.</w:t>
      </w:r>
    </w:p>
    <w:bookmarkEnd w:id="22"/>
    <w:bookmarkStart w:id="23" w:name="impacto-translacional"/>
    <w:p>
      <w:pPr>
        <w:pStyle w:val="Heading3"/>
      </w:pPr>
      <w:r>
        <w:t xml:space="preserve">2.9 Impacto translacional</w:t>
      </w:r>
    </w:p>
    <w:p>
      <w:pPr>
        <w:pStyle w:val="FirstParagraph"/>
      </w:pPr>
      <w:r>
        <w:t xml:space="preserve">O garanhão constitui modelo translacional poderoso para o envelhecimento reprodutivo masculino: testículo de tamanho comparável ao humano, espermatogênese de 57 dias (vs 74 no homem e 35 no camundongo), longevidade natural de 25–35 anos, ausência de andropausa abrupta (declínio gradual, como no homem), e ejaculado volumoso que permite múltiplas análises simultâneas.</w:t>
      </w:r>
    </w:p>
    <w:p>
      <w:r>
        <w:pict>
          <v:rect style="width:0;height:1.5pt" o:hralign="center" o:hrstd="t" o:hr="t"/>
        </w:pict>
      </w:r>
    </w:p>
    <w:bookmarkEnd w:id="23"/>
    <w:bookmarkEnd w:id="24"/>
    <w:bookmarkStart w:id="25" w:name="hipóteses"/>
    <w:p>
      <w:pPr>
        <w:pStyle w:val="Heading2"/>
      </w:pPr>
      <w:r>
        <w:t xml:space="preserve">3. HIPÓTESES</w:t>
      </w:r>
    </w:p>
    <w:p>
      <w:pPr>
        <w:pStyle w:val="FirstParagraph"/>
      </w:pPr>
      <w:r>
        <w:rPr>
          <w:b/>
          <w:bCs/>
        </w:rPr>
        <w:t xml:space="preserve">H1:</w:t>
      </w:r>
      <w:r>
        <w:t xml:space="preserve"> </w:t>
      </w:r>
      <w:r>
        <w:t xml:space="preserve">Garanhões senis apresentam estresse oxidativo sistêmico e seminal significativamente maior que garanhões adultos, e esses marcadores se correlacionam positivamente entre si.</w:t>
      </w:r>
    </w:p>
    <w:p>
      <w:pPr>
        <w:pStyle w:val="BodyText"/>
      </w:pPr>
      <w:r>
        <w:rPr>
          <w:b/>
          <w:bCs/>
        </w:rPr>
        <w:t xml:space="preserve">H2:</w:t>
      </w:r>
      <w:r>
        <w:t xml:space="preserve"> </w:t>
      </w:r>
      <w:r>
        <w:t xml:space="preserve">O aumento do estresse oxidativo seminal em garanhões senis correlaciona-se negativamente com parâmetros de motilidade, integridade de membrana, potencial mitocondrial e integridade de DNA.</w:t>
      </w:r>
    </w:p>
    <w:p>
      <w:pPr>
        <w:pStyle w:val="BodyText"/>
      </w:pPr>
      <w:r>
        <w:rPr>
          <w:b/>
          <w:bCs/>
        </w:rPr>
        <w:t xml:space="preserve">H3:</w:t>
      </w:r>
      <w:r>
        <w:t xml:space="preserve"> </w:t>
      </w:r>
      <w:r>
        <w:t xml:space="preserve">A perfusão testicular avaliada por Doppler e a temperatura escrotal por termografia estão alteradas em garanhões senis e se correlacionam com qualidade seminal e marcadores oxidativos.</w:t>
      </w:r>
    </w:p>
    <w:p>
      <w:pPr>
        <w:pStyle w:val="BodyText"/>
      </w:pPr>
      <w:r>
        <w:rPr>
          <w:b/>
          <w:bCs/>
        </w:rPr>
        <w:t xml:space="preserve">H4:</w:t>
      </w:r>
      <w:r>
        <w:t xml:space="preserve"> </w:t>
      </w:r>
      <w:r>
        <w:t xml:space="preserve">O perfil hormonal de garanhões senis apresenta padrão de falência testicular primária (inibina B↓, testosterona↓, estradiol↓) correlacionado com o grau de comprometimento seminal e oxidativo.</w:t>
      </w:r>
    </w:p>
    <w:p>
      <w:pPr>
        <w:pStyle w:val="BodyText"/>
      </w:pPr>
      <w:r>
        <w:rPr>
          <w:b/>
          <w:bCs/>
        </w:rPr>
        <w:t xml:space="preserve">H5:</w:t>
      </w:r>
      <w:r>
        <w:t xml:space="preserve"> </w:t>
      </w:r>
      <w:r>
        <w:t xml:space="preserve">O proteoma do plasma seminal de garanhões senis difere significativamente do de adultos, com sub-regulação de proteínas antioxidantes, de capacitação e de metabolismo energético.</w:t>
      </w:r>
    </w:p>
    <w:p>
      <w:pPr>
        <w:pStyle w:val="BodyText"/>
      </w:pPr>
      <w:r>
        <w:rPr>
          <w:b/>
          <w:bCs/>
        </w:rPr>
        <w:t xml:space="preserve">H6:</w:t>
      </w:r>
      <w:r>
        <w:t xml:space="preserve"> </w:t>
      </w:r>
      <w:r>
        <w:t xml:space="preserve">O declínio da qualidade seminal com a idade é exacerbado pela criopreservação e pela refrigeração, sendo o sêmen processado de garanhões senis mais suscetível ao criodano e ao dano por refrigeração que o de adultos, com interação entre idade e classificação de refrigerabilidade (GC/BC).</w:t>
      </w:r>
    </w:p>
    <w:p>
      <w:r>
        <w:pict>
          <v:rect style="width:0;height:1.5pt" o:hralign="center" o:hrstd="t" o:hr="t"/>
        </w:pict>
      </w:r>
    </w:p>
    <w:bookmarkEnd w:id="25"/>
    <w:bookmarkStart w:id="28" w:name="objetivos"/>
    <w:p>
      <w:pPr>
        <w:pStyle w:val="Heading2"/>
      </w:pPr>
      <w:r>
        <w:t xml:space="preserve">4. OBJETIVOS</w:t>
      </w:r>
    </w:p>
    <w:bookmarkStart w:id="26" w:name="objetivo-geral"/>
    <w:p>
      <w:pPr>
        <w:pStyle w:val="Heading3"/>
      </w:pPr>
      <w:r>
        <w:t xml:space="preserve">4.1 Objetivo geral</w:t>
      </w:r>
    </w:p>
    <w:p>
      <w:pPr>
        <w:pStyle w:val="FirstParagraph"/>
      </w:pPr>
      <w:r>
        <w:t xml:space="preserve">Caracterizar as alterações reprodutivas associadas à senescência em garanhões, integrando avaliação clínica, parâmetros espermáticos (com ênfase no binômio motilidade + IMP), estresse oxidativo sistêmico e seminal, perfil hormonal, resposta à refrigeração (GC/BC) e à criopreservação, e proteômica seminal condicional.</w:t>
      </w:r>
    </w:p>
    <w:bookmarkEnd w:id="26"/>
    <w:bookmarkStart w:id="27" w:name="objetivos-específicos"/>
    <w:p>
      <w:pPr>
        <w:pStyle w:val="Heading3"/>
      </w:pPr>
      <w:r>
        <w:t xml:space="preserve">4.2 Objetivos específicos</w:t>
      </w:r>
    </w:p>
    <w:p>
      <w:pPr>
        <w:numPr>
          <w:ilvl w:val="0"/>
          <w:numId w:val="1001"/>
        </w:numPr>
      </w:pPr>
      <w:r>
        <w:t xml:space="preserve">Comparar parâmetros de motilidade (CASA), integridade de membrana plasmática (IMP — CFDA/PI), morfologia, integridade funcional (citometria de fluxo — 7 protocolos) e fragmentação de DNA (SCSA) entre garanhões adultos (5–10 anos) e senis (≥ 16 anos) em sêmen fresco, refrigerado (BotuSemen® vs BotuSpecial® — T0, 24h, 48h) e congelado (BotuCrio® — T0 e T30 pós-descongelação a 37°C/30s).</w:t>
      </w:r>
    </w:p>
    <w:p>
      <w:pPr>
        <w:numPr>
          <w:ilvl w:val="0"/>
          <w:numId w:val="1001"/>
        </w:numPr>
      </w:pPr>
      <w:r>
        <w:t xml:space="preserve">Avaliar a perfusão testicular por ultrassonografia Doppler e a temperatura escrotal por termografia infravermelha como preditores de qualidade seminal em função da idade.</w:t>
      </w:r>
    </w:p>
    <w:p>
      <w:pPr>
        <w:numPr>
          <w:ilvl w:val="0"/>
          <w:numId w:val="1001"/>
        </w:numPr>
      </w:pPr>
      <w:r>
        <w:t xml:space="preserve">Quantificar biomarcadores de estresse oxidativo (TBARS, SOD, CAT, GPx, TAC) em sangue periférico e EO seminal (TBARS, ROS, C11-BODIPY) em plasma seminal e espermatozoides, correlacionando marcadores sistêmicos e locais entre si e com parâmetros espermáticos.</w:t>
      </w:r>
    </w:p>
    <w:p>
      <w:pPr>
        <w:numPr>
          <w:ilvl w:val="0"/>
          <w:numId w:val="1001"/>
        </w:numPr>
      </w:pPr>
      <w:r>
        <w:t xml:space="preserve">Comparar o perfil hormonal (testosterona, estradiol, inibina B) entre os grupos etários e correlacionar com função testicular e qualidade seminal.</w:t>
      </w:r>
    </w:p>
    <w:p>
      <w:pPr>
        <w:numPr>
          <w:ilvl w:val="0"/>
          <w:numId w:val="1001"/>
        </w:numPr>
      </w:pPr>
      <w:r>
        <w:rPr>
          <w:b/>
          <w:bCs/>
        </w:rPr>
        <w:t xml:space="preserve">[Condicional — vinculado à disponibilidade orçamentária]</w:t>
      </w:r>
      <w:r>
        <w:t xml:space="preserve"> </w:t>
      </w:r>
      <w:r>
        <w:t xml:space="preserve">Identificar o proteoma diferencial do plasma seminal entre garanhões adultos e senis por cromatografia líquida acoplada à espectrometria de massas em tandem (LC-MS/MS), com ênfase em proteínas associadas à proteção antioxidante, capacitação e metabolismo energético.</w:t>
      </w:r>
    </w:p>
    <w:p>
      <w:pPr>
        <w:numPr>
          <w:ilvl w:val="0"/>
          <w:numId w:val="1001"/>
        </w:numPr>
      </w:pPr>
      <w:r>
        <w:t xml:space="preserve">Constituir biobanco de DNA espermático a −80°C para futuros estudos de epigenômica do envelhecimento reprodutivo equino.</w:t>
      </w:r>
    </w:p>
    <w:p>
      <w:r>
        <w:pict>
          <v:rect style="width:0;height:1.5pt" o:hralign="center" o:hrstd="t" o:hr="t"/>
        </w:pict>
      </w:r>
    </w:p>
    <w:bookmarkEnd w:id="27"/>
    <w:bookmarkEnd w:id="28"/>
    <w:bookmarkStart w:id="44" w:name="material-e-métodos"/>
    <w:p>
      <w:pPr>
        <w:pStyle w:val="Heading2"/>
      </w:pPr>
      <w:r>
        <w:t xml:space="preserve">5. MATERIAL E MÉTODOS</w:t>
      </w:r>
    </w:p>
    <w:bookmarkStart w:id="29" w:name="animais"/>
    <w:p>
      <w:pPr>
        <w:pStyle w:val="Heading3"/>
      </w:pPr>
      <w:r>
        <w:t xml:space="preserve">5.1 Animais</w:t>
      </w:r>
    </w:p>
    <w:p>
      <w:pPr>
        <w:pStyle w:val="FirstParagraph"/>
      </w:pPr>
      <w:r>
        <w:t xml:space="preserve">Serão utilizados 24 garanhões divididos em dois grupos:</w:t>
      </w:r>
      <w:r>
        <w:t xml:space="preserve"> </w:t>
      </w:r>
      <w:r>
        <w:t xml:space="preserve">-</w:t>
      </w:r>
      <w:r>
        <w:t xml:space="preserve"> </w:t>
      </w:r>
      <w:r>
        <w:rPr>
          <w:b/>
          <w:bCs/>
        </w:rPr>
        <w:t xml:space="preserve">Grupo Adulto (GA):</w:t>
      </w:r>
      <w:r>
        <w:t xml:space="preserve"> </w:t>
      </w:r>
      <w:r>
        <w:t xml:space="preserve">12 garanhões com 5–10 anos, fertilidade comprovada, exame andrológico dentro dos limites normais, sem histórico de patologia reprodutiva.</w:t>
      </w:r>
      <w:r>
        <w:t xml:space="preserve"> </w:t>
      </w:r>
      <w:r>
        <w:t xml:space="preserve">-</w:t>
      </w:r>
      <w:r>
        <w:t xml:space="preserve"> </w:t>
      </w:r>
      <w:r>
        <w:rPr>
          <w:b/>
          <w:bCs/>
        </w:rPr>
        <w:t xml:space="preserve">Grupo Senil (GS):</w:t>
      </w:r>
      <w:r>
        <w:t xml:space="preserve"> </w:t>
      </w:r>
      <w:r>
        <w:t xml:space="preserve">12 garanhões com ≥ 16 anos, com declínio documentado de fertilidade ou parâmetros seminais, ausência de causa identificável após investigação (infecciosa, traumática, iatrogênica, metabólica).</w:t>
      </w:r>
    </w:p>
    <w:p>
      <w:pPr>
        <w:pStyle w:val="BodyText"/>
      </w:pPr>
      <w:r>
        <w:t xml:space="preserve">A divisão etária é sustentada por múltiplos estudos: Al-Kheraije et al. (2021) utilizaram cortes de 4–6, 8–11 e 15–22 anos; El-Sisy et al. (2019) dividiram em 5–6, 11–12 e 15–20 anos; Darr et al. (2016) demonstraram pico funcional aos 12 anos com declínio após 13 anos; Turner (2019) recomendou monitoramento intensificado a partir dos 15 anos.</w:t>
      </w:r>
    </w:p>
    <w:p>
      <w:pPr>
        <w:pStyle w:val="BodyText"/>
      </w:pPr>
      <w:r>
        <w:rPr>
          <w:b/>
          <w:bCs/>
        </w:rPr>
        <w:t xml:space="preserve">Critérios de inclusão do GS:</w:t>
      </w:r>
      <w:r>
        <w:t xml:space="preserve"> </w:t>
      </w:r>
      <w:r>
        <w:t xml:space="preserve">- Idade ≥ 16 anos</w:t>
      </w:r>
      <w:r>
        <w:t xml:space="preserve"> </w:t>
      </w:r>
      <w:r>
        <w:t xml:space="preserve">- Pelo menos um indicador de comprometimento Sertoliano (inibina B baixa ou ecotextura testicular alterada)</w:t>
      </w:r>
      <w:r>
        <w:t xml:space="preserve"> </w:t>
      </w:r>
      <w:r>
        <w:t xml:space="preserve">- Exclusão de causas infecciosas (sorologias, cultura seminal), traumáticas (Doppler), iatrogênicas (histórico farmacológico), e metabólicas (ECC, insulina basal)</w:t>
      </w:r>
    </w:p>
    <w:p>
      <w:pPr>
        <w:pStyle w:val="BodyText"/>
      </w:pPr>
      <w:r>
        <w:rPr>
          <w:b/>
          <w:bCs/>
        </w:rPr>
        <w:t xml:space="preserve">Critérios de inclusão do GA:</w:t>
      </w:r>
      <w:r>
        <w:t xml:space="preserve"> </w:t>
      </w:r>
      <w:r>
        <w:t xml:space="preserve">- Fertilidade comprovada (taxa de prenhez ≥ 60% por ciclo ou equivalente)</w:t>
      </w:r>
      <w:r>
        <w:t xml:space="preserve"> </w:t>
      </w:r>
      <w:r>
        <w:t xml:space="preserve">- Parâmetros seminais dentro dos limites normais</w:t>
      </w:r>
      <w:r>
        <w:t xml:space="preserve"> </w:t>
      </w:r>
      <w:r>
        <w:t xml:space="preserve">- Inibina B dentro dos intervalos de referência</w:t>
      </w:r>
    </w:p>
    <w:p>
      <w:pPr>
        <w:pStyle w:val="BodyText"/>
      </w:pPr>
      <w:r>
        <w:rPr>
          <w:b/>
          <w:bCs/>
        </w:rPr>
        <w:t xml:space="preserve">Controle de variáveis:</w:t>
      </w:r>
      <w:r>
        <w:t xml:space="preserve"> </w:t>
      </w:r>
      <w:r>
        <w:t xml:space="preserve">- Todas as coletas realizadas na mesma janela sazonal (estação reprodutiva — outubro a março no hemisfério sul)</w:t>
      </w:r>
      <w:r>
        <w:t xml:space="preserve"> </w:t>
      </w:r>
      <w:r>
        <w:t xml:space="preserve">- Raça equilibrada entre os grupos ou incluída como covariável</w:t>
      </w:r>
      <w:r>
        <w:t xml:space="preserve"> </w:t>
      </w:r>
      <w:r>
        <w:t xml:space="preserve">- Escore de condição corporal (ECC) documentado e incluído como covariável</w:t>
      </w:r>
      <w:r>
        <w:t xml:space="preserve"> </w:t>
      </w:r>
      <w:r>
        <w:t xml:space="preserve">- Esgotamento de reservas extragonadais antes das coletas experimentais (mínimo 2 coletas com 1 hora de intervalo)</w:t>
      </w:r>
    </w:p>
    <w:p>
      <w:pPr>
        <w:pStyle w:val="BodyText"/>
      </w:pPr>
      <w:r>
        <w:t xml:space="preserve">O estudo será submetido ao Comitê de Ética no Uso de Animais (CEUA) da FMVZ/UNESP e conduzido em conformidade com as normas do Conselho Nacional de Controle de Experimentação Animal (CONCEA).</w:t>
      </w:r>
    </w:p>
    <w:bookmarkEnd w:id="29"/>
    <w:bookmarkStart w:id="30" w:name="delineamento-experimental"/>
    <w:p>
      <w:pPr>
        <w:pStyle w:val="Heading3"/>
      </w:pPr>
      <w:r>
        <w:t xml:space="preserve">5.2 Delineamento experimental</w:t>
      </w:r>
    </w:p>
    <w:p>
      <w:pPr>
        <w:pStyle w:val="FirstParagraph"/>
      </w:pPr>
      <w:r>
        <w:t xml:space="preserve">De cada animal, serão realizadas</w:t>
      </w:r>
      <w:r>
        <w:t xml:space="preserve"> </w:t>
      </w:r>
      <w:r>
        <w:rPr>
          <w:b/>
          <w:bCs/>
        </w:rPr>
        <w:t xml:space="preserve">duas coletas</w:t>
      </w:r>
      <w:r>
        <w:t xml:space="preserve"> </w:t>
      </w:r>
      <w:r>
        <w:t xml:space="preserve">com intervalo mínimo de 48 horas, ambas na estação reprodutiva. Em cada coleta:</w:t>
      </w:r>
    </w:p>
    <w:p>
      <w:pPr>
        <w:pStyle w:val="BodyText"/>
      </w:pPr>
      <w:r>
        <w:rPr>
          <w:b/>
          <w:bCs/>
        </w:rPr>
        <w:t xml:space="preserve">Antes da coleta seminal:</w:t>
      </w:r>
      <w:r>
        <w:t xml:space="preserve"> </w:t>
      </w:r>
      <w:r>
        <w:t xml:space="preserve">- Coleta de sangue periférico (jugular) em tubo sem anticoagulante (soro para TBARS e hormônios) e tubo com heparina de lítio (plasma para TAC, SOD, CAT, GPx) — sempre no mesmo horário da manhã</w:t>
      </w:r>
      <w:r>
        <w:t xml:space="preserve"> </w:t>
      </w:r>
      <w:r>
        <w:t xml:space="preserve">- Exame andrológico: inspeção e palpação testicular, biometria com paquímetro (comprimento × largura × altura de cada testículo), circunferência escrotal com fita métrica, cálculo do volume testicular</w:t>
      </w:r>
      <w:r>
        <w:t xml:space="preserve"> </w:t>
      </w:r>
      <w:r>
        <w:t xml:space="preserve">- Ultrassonografia modo B: avaliação da ecogenicidade e ecotextura testicular</w:t>
      </w:r>
      <w:r>
        <w:t xml:space="preserve"> </w:t>
      </w:r>
      <w:r>
        <w:t xml:space="preserve">- Ultrassonografia Doppler: IR e IP da artéria capsular testicular</w:t>
      </w:r>
      <w:r>
        <w:t xml:space="preserve"> </w:t>
      </w:r>
      <w:r>
        <w:t xml:space="preserve">- Termografia escrotal infravermelha: gradiente térmico escrotal-corporal</w:t>
      </w:r>
    </w:p>
    <w:p>
      <w:pPr>
        <w:pStyle w:val="BodyText"/>
      </w:pPr>
      <w:r>
        <w:rPr>
          <w:b/>
          <w:bCs/>
        </w:rPr>
        <w:t xml:space="preserve">Coleta seminal:</w:t>
      </w:r>
      <w:r>
        <w:t xml:space="preserve"> </w:t>
      </w:r>
      <w:r>
        <w:t xml:space="preserve">- Vagina artificial</w:t>
      </w:r>
      <w:r>
        <w:t xml:space="preserve"> </w:t>
      </w:r>
      <w:r>
        <w:t xml:space="preserve">- Filtração da fração gel</w:t>
      </w:r>
    </w:p>
    <w:p>
      <w:pPr>
        <w:pStyle w:val="BodyText"/>
      </w:pPr>
      <w:r>
        <w:rPr>
          <w:b/>
          <w:bCs/>
        </w:rPr>
        <w:t xml:space="preserve">Processamento imediato do ejaculado (sêmen fresco — T0):</w:t>
      </w:r>
      <w:r>
        <w:t xml:space="preserve"> </w:t>
      </w:r>
      <w:r>
        <w:t xml:space="preserve">- Diluição com BotuSemen® a 50 × 10⁶ sptz/mL</w:t>
      </w:r>
      <w:r>
        <w:t xml:space="preserve"> </w:t>
      </w:r>
      <w:r>
        <w:t xml:space="preserve">- Alíquota para CASA (motilidade, concentração) — T0</w:t>
      </w:r>
      <w:r>
        <w:t xml:space="preserve"> </w:t>
      </w:r>
      <w:r>
        <w:t xml:space="preserve">- Alíquota para IMP (CFDA/PI) — T0</w:t>
      </w:r>
      <w:r>
        <w:t xml:space="preserve"> </w:t>
      </w:r>
      <w:r>
        <w:t xml:space="preserve">- Alíquota para morfologia (contraste de interferência diferencial — DIC)</w:t>
      </w:r>
      <w:r>
        <w:t xml:space="preserve"> </w:t>
      </w:r>
      <w:r>
        <w:t xml:space="preserve">- Alíquota para citometria de fluxo (7 protocolos — detalhados abaixo) — T0</w:t>
      </w:r>
      <w:r>
        <w:t xml:space="preserve"> </w:t>
      </w:r>
      <w:r>
        <w:t xml:space="preserve">- Alíquota para SCSA (fragmentação de DNA) — T0</w:t>
      </w:r>
      <w:r>
        <w:t xml:space="preserve"> </w:t>
      </w:r>
      <w:r>
        <w:t xml:space="preserve">- Centrifugação a 800 × g por 10 min → sobrenadante = plasma seminal:</w:t>
      </w:r>
      <w:r>
        <w:t xml:space="preserve"> </w:t>
      </w:r>
      <w:r>
        <w:t xml:space="preserve">- 2 alíquotas para TBARS seminal (com BHT 1×) → −80°C</w:t>
      </w:r>
      <w:r>
        <w:t xml:space="preserve"> </w:t>
      </w:r>
      <w:r>
        <w:t xml:space="preserve">- 2 alíquotas para TAC seminal → −80°C</w:t>
      </w:r>
      <w:r>
        <w:t xml:space="preserve"> </w:t>
      </w:r>
      <w:r>
        <w:t xml:space="preserve">- 2 alíquotas para proteômica (condicional) → −80°C</w:t>
      </w:r>
      <w:r>
        <w:t xml:space="preserve"> </w:t>
      </w:r>
      <w:r>
        <w:t xml:space="preserve">- Pellet espermático lavado em PBS (2 lavagens a 600 × g por 5 min):</w:t>
      </w:r>
      <w:r>
        <w:t xml:space="preserve"> </w:t>
      </w:r>
      <w:r>
        <w:t xml:space="preserve">- 2–3 alíquotas para biobanco de DNA → snap freezing em N₂ líquido → −80°C</w:t>
      </w:r>
    </w:p>
    <w:p>
      <w:pPr>
        <w:pStyle w:val="BodyText"/>
      </w:pPr>
      <w:r>
        <w:rPr>
          <w:b/>
          <w:bCs/>
        </w:rPr>
        <w:t xml:space="preserve">Processamento seminal para avaliação em três condições:</w:t>
      </w:r>
    </w:p>
    <w:p>
      <w:pPr>
        <w:numPr>
          <w:ilvl w:val="0"/>
          <w:numId w:val="1002"/>
        </w:numPr>
      </w:pPr>
      <w:r>
        <w:rPr>
          <w:b/>
          <w:bCs/>
        </w:rPr>
        <w:t xml:space="preserve">Sêmen fresco (T0):</w:t>
      </w:r>
      <w:r>
        <w:t xml:space="preserve"> </w:t>
      </w:r>
      <w:r>
        <w:t xml:space="preserve">análise imediata após diluição em BotuSemen® a 50 × 10⁶ sptz/mL. Parâmetros: CASA + IMP (CFDA/PI) + citometria (7 protocolos) + SCSA.</w:t>
      </w:r>
    </w:p>
    <w:p>
      <w:pPr>
        <w:numPr>
          <w:ilvl w:val="0"/>
          <w:numId w:val="1002"/>
        </w:numPr>
      </w:pPr>
      <w:r>
        <w:rPr>
          <w:b/>
          <w:bCs/>
        </w:rPr>
        <w:t xml:space="preserve">Sêmen refrigerado — comparação BotuSemen® vs BotuSpecial®:</w:t>
      </w:r>
    </w:p>
    <w:p>
      <w:pPr>
        <w:pStyle w:val="Compact"/>
        <w:numPr>
          <w:ilvl w:val="1"/>
          <w:numId w:val="1003"/>
        </w:numPr>
      </w:pPr>
      <w:r>
        <w:t xml:space="preserve">Ejaculado dividido em duas frações iguais</w:t>
      </w:r>
    </w:p>
    <w:p>
      <w:pPr>
        <w:pStyle w:val="Compact"/>
        <w:numPr>
          <w:ilvl w:val="1"/>
          <w:numId w:val="1003"/>
        </w:numPr>
      </w:pPr>
      <w:r>
        <w:t xml:space="preserve">Fração A: diluição em BotuSemen® a 50 × 10⁶ sptz/mL</w:t>
      </w:r>
    </w:p>
    <w:p>
      <w:pPr>
        <w:pStyle w:val="Compact"/>
        <w:numPr>
          <w:ilvl w:val="1"/>
          <w:numId w:val="1003"/>
        </w:numPr>
      </w:pPr>
      <w:r>
        <w:t xml:space="preserve">Fração B: diluição em BotuSpecial® a 50 × 10⁶ sptz/mL</w:t>
      </w:r>
    </w:p>
    <w:p>
      <w:pPr>
        <w:pStyle w:val="Compact"/>
        <w:numPr>
          <w:ilvl w:val="1"/>
          <w:numId w:val="1003"/>
        </w:numPr>
      </w:pPr>
      <w:r>
        <w:t xml:space="preserve">Refrigeração a 5°C</w:t>
      </w:r>
    </w:p>
    <w:p>
      <w:pPr>
        <w:pStyle w:val="Compact"/>
        <w:numPr>
          <w:ilvl w:val="1"/>
          <w:numId w:val="1003"/>
        </w:numPr>
      </w:pPr>
      <w:r>
        <w:t xml:space="preserve">Avaliação em três tempos:</w:t>
      </w:r>
      <w:r>
        <w:t xml:space="preserve"> </w:t>
      </w:r>
      <w:r>
        <w:rPr>
          <w:b/>
          <w:bCs/>
        </w:rPr>
        <w:t xml:space="preserve">T0</w:t>
      </w:r>
      <w:r>
        <w:t xml:space="preserve"> </w:t>
      </w:r>
      <w:r>
        <w:t xml:space="preserve">(imediatamente após diluição),</w:t>
      </w:r>
      <w:r>
        <w:t xml:space="preserve"> </w:t>
      </w:r>
      <w:r>
        <w:rPr>
          <w:b/>
          <w:bCs/>
        </w:rPr>
        <w:t xml:space="preserve">T24h</w:t>
      </w:r>
      <w:r>
        <w:t xml:space="preserve"> </w:t>
      </w:r>
      <w:r>
        <w:t xml:space="preserve">e</w:t>
      </w:r>
      <w:r>
        <w:t xml:space="preserve"> </w:t>
      </w:r>
      <w:r>
        <w:rPr>
          <w:b/>
          <w:bCs/>
        </w:rPr>
        <w:t xml:space="preserve">T48h</w:t>
      </w:r>
    </w:p>
    <w:p>
      <w:pPr>
        <w:pStyle w:val="Compact"/>
        <w:numPr>
          <w:ilvl w:val="1"/>
          <w:numId w:val="1003"/>
        </w:numPr>
      </w:pPr>
      <w:r>
        <w:t xml:space="preserve">Parâmetros em cada tempo: CASA + IMP (CFDA/PI)</w:t>
      </w:r>
    </w:p>
    <w:p>
      <w:pPr>
        <w:pStyle w:val="Compact"/>
        <w:numPr>
          <w:ilvl w:val="1"/>
          <w:numId w:val="1003"/>
        </w:numPr>
      </w:pPr>
      <w:r>
        <w:rPr>
          <w:b/>
          <w:bCs/>
        </w:rPr>
        <w:t xml:space="preserve">Classificação GC/BC (Good Cooler / Bad Cooler):</w:t>
      </w:r>
      <w:r>
        <w:t xml:space="preserve"> </w:t>
      </w:r>
      <w:r>
        <w:t xml:space="preserve">baseada na queda de motilidade progressiva entre T0 e T48h. Garanhões com queda ≤ 20% = GC; queda &gt; 20% = BC. Essa classificação gera delineamento fatorial</w:t>
      </w:r>
      <w:r>
        <w:t xml:space="preserve"> </w:t>
      </w:r>
      <w:r>
        <w:rPr>
          <w:b/>
          <w:bCs/>
        </w:rPr>
        <w:t xml:space="preserve">2 × 2 (idade × refrigerabilidade)</w:t>
      </w:r>
      <w:r>
        <w:t xml:space="preserve">: GA-GC, GA-BC, GS-GC, GS-BC.</w:t>
      </w:r>
    </w:p>
    <w:p>
      <w:pPr>
        <w:numPr>
          <w:ilvl w:val="0"/>
          <w:numId w:val="1002"/>
        </w:numPr>
      </w:pPr>
      <w:r>
        <w:rPr>
          <w:b/>
          <w:bCs/>
        </w:rPr>
        <w:t xml:space="preserve">Sêmen congelado (BotuCrio®):</w:t>
      </w:r>
    </w:p>
    <w:p>
      <w:pPr>
        <w:pStyle w:val="Compact"/>
        <w:numPr>
          <w:ilvl w:val="1"/>
          <w:numId w:val="1004"/>
        </w:numPr>
      </w:pPr>
      <w:r>
        <w:t xml:space="preserve">Centrifugação a 600 × g por 10 min (pré-congelação)</w:t>
      </w:r>
    </w:p>
    <w:p>
      <w:pPr>
        <w:pStyle w:val="Compact"/>
        <w:numPr>
          <w:ilvl w:val="1"/>
          <w:numId w:val="1004"/>
        </w:numPr>
      </w:pPr>
      <w:r>
        <w:t xml:space="preserve">Ressuspensão do pellet em BotuCrio® a</w:t>
      </w:r>
      <w:r>
        <w:t xml:space="preserve"> </w:t>
      </w:r>
      <w:r>
        <w:rPr>
          <w:b/>
          <w:bCs/>
        </w:rPr>
        <w:t xml:space="preserve">200 × 10⁶ sptz/mL</w:t>
      </w:r>
      <w:r>
        <w:t xml:space="preserve"> </w:t>
      </w:r>
      <w:r>
        <w:t xml:space="preserve">(concentração final no pallet)</w:t>
      </w:r>
    </w:p>
    <w:p>
      <w:pPr>
        <w:pStyle w:val="Compact"/>
        <w:numPr>
          <w:ilvl w:val="1"/>
          <w:numId w:val="1004"/>
        </w:numPr>
      </w:pPr>
      <w:r>
        <w:t xml:space="preserve">Envasamento em palhetas de 0,5 mL</w:t>
      </w:r>
    </w:p>
    <w:p>
      <w:pPr>
        <w:pStyle w:val="Compact"/>
        <w:numPr>
          <w:ilvl w:val="1"/>
          <w:numId w:val="1004"/>
        </w:numPr>
      </w:pPr>
      <w:r>
        <w:t xml:space="preserve">Curva de congelação em vapor de nitrogênio líquido</w:t>
      </w:r>
    </w:p>
    <w:p>
      <w:pPr>
        <w:pStyle w:val="Compact"/>
        <w:numPr>
          <w:ilvl w:val="1"/>
          <w:numId w:val="1004"/>
        </w:numPr>
      </w:pPr>
      <w:r>
        <w:t xml:space="preserve">Armazenamento em N₂ líquido</w:t>
      </w:r>
    </w:p>
    <w:p>
      <w:pPr>
        <w:pStyle w:val="Compact"/>
        <w:numPr>
          <w:ilvl w:val="1"/>
          <w:numId w:val="1004"/>
        </w:numPr>
      </w:pPr>
      <w:r>
        <w:t xml:space="preserve">Descongelação a</w:t>
      </w:r>
      <w:r>
        <w:t xml:space="preserve"> </w:t>
      </w:r>
      <w:r>
        <w:rPr>
          <w:b/>
          <w:bCs/>
        </w:rPr>
        <w:t xml:space="preserve">37°C por 30 segundos</w:t>
      </w:r>
      <w:r>
        <w:t xml:space="preserve"> </w:t>
      </w:r>
      <w:r>
        <w:t xml:space="preserve">(protocolo padrão BotuCrio®)</w:t>
      </w:r>
    </w:p>
    <w:p>
      <w:pPr>
        <w:pStyle w:val="Compact"/>
        <w:numPr>
          <w:ilvl w:val="1"/>
          <w:numId w:val="1004"/>
        </w:numPr>
      </w:pPr>
      <w:r>
        <w:t xml:space="preserve">Avaliação em dois tempos:</w:t>
      </w:r>
      <w:r>
        <w:t xml:space="preserve"> </w:t>
      </w:r>
      <w:r>
        <w:rPr>
          <w:b/>
          <w:bCs/>
        </w:rPr>
        <w:t xml:space="preserve">T0</w:t>
      </w:r>
      <w:r>
        <w:t xml:space="preserve"> </w:t>
      </w:r>
      <w:r>
        <w:t xml:space="preserve">(imediatamente pós-descongelação) e</w:t>
      </w:r>
      <w:r>
        <w:t xml:space="preserve"> </w:t>
      </w:r>
      <w:r>
        <w:rPr>
          <w:b/>
          <w:bCs/>
        </w:rPr>
        <w:t xml:space="preserve">T30</w:t>
      </w:r>
      <w:r>
        <w:t xml:space="preserve"> </w:t>
      </w:r>
      <w:r>
        <w:t xml:space="preserve">(30 minutos pós-descongelação a 37°C — teste de termorresistência)</w:t>
      </w:r>
    </w:p>
    <w:p>
      <w:pPr>
        <w:pStyle w:val="Compact"/>
        <w:numPr>
          <w:ilvl w:val="1"/>
          <w:numId w:val="1004"/>
        </w:numPr>
      </w:pPr>
      <w:r>
        <w:t xml:space="preserve">Parâmetros em cada tempo: CASA + IMP (CFDA/PI) + citometria (7 protocolos) + SCSA</w:t>
      </w:r>
    </w:p>
    <w:p>
      <w:pPr>
        <w:pStyle w:val="FirstParagraph"/>
      </w:pPr>
      <w:r>
        <w:rPr>
          <w:b/>
          <w:bCs/>
        </w:rPr>
        <w:t xml:space="preserve">Nota sobre IMP:</w:t>
      </w:r>
      <w:r>
        <w:t xml:space="preserve"> </w:t>
      </w:r>
      <w:r>
        <w:t xml:space="preserve">A integridade de membrana plasmática avaliada por CFDA/PI é parâmetro</w:t>
      </w:r>
      <w:r>
        <w:t xml:space="preserve"> </w:t>
      </w:r>
      <w:r>
        <w:rPr>
          <w:b/>
          <w:bCs/>
        </w:rPr>
        <w:t xml:space="preserve">obrigatório</w:t>
      </w:r>
      <w:r>
        <w:t xml:space="preserve"> </w:t>
      </w:r>
      <w:r>
        <w:t xml:space="preserve">em todas as condições (fresco, refrigerado e congelado), formando binômio indissociável com a motilidade como critério mínimo de qualidade espermática.</w:t>
      </w:r>
    </w:p>
    <w:bookmarkEnd w:id="30"/>
    <w:bookmarkStart w:id="31" w:name="análise-computadorizada-de-sêmen-casa"/>
    <w:p>
      <w:pPr>
        <w:pStyle w:val="Heading3"/>
      </w:pPr>
      <w:r>
        <w:t xml:space="preserve">5.3 Análise computadorizada de sêmen (CASA)</w:t>
      </w:r>
    </w:p>
    <w:p>
      <w:pPr>
        <w:pStyle w:val="FirstParagraph"/>
      </w:pPr>
      <w:r>
        <w:t xml:space="preserve">Motilidade total (MT), motilidade progressiva (MP), velocidade de trajeto (VAP), velocidade curvilinear (VCL), velocidade em linha reta (VSL), linearidade (LIN), rettilinearidade (STR), oscilação (WOB), espermatozoides rápidos (RAP). Equipamento: IVOS II (Hamilton Thorne) ou SCA (Microptic).</w:t>
      </w:r>
    </w:p>
    <w:bookmarkEnd w:id="31"/>
    <w:bookmarkStart w:id="32" w:name="morfologia-espermática"/>
    <w:p>
      <w:pPr>
        <w:pStyle w:val="Heading3"/>
      </w:pPr>
      <w:r>
        <w:t xml:space="preserve">5.4 Morfologia espermática</w:t>
      </w:r>
    </w:p>
    <w:p>
      <w:pPr>
        <w:pStyle w:val="FirstParagraph"/>
      </w:pPr>
      <w:r>
        <w:t xml:space="preserve">Avaliação sob microscopia de contraste de interferência diferencial (DIC), classificação de defeitos em maiores e menores, mínimo de 200 células por lâmina.</w:t>
      </w:r>
    </w:p>
    <w:bookmarkEnd w:id="32"/>
    <w:bookmarkStart w:id="33" w:name="citometria-de-fluxo-7-protocolos"/>
    <w:p>
      <w:pPr>
        <w:pStyle w:val="Heading3"/>
      </w:pPr>
      <w:r>
        <w:t xml:space="preserve">5.5 Citometria de fluxo — 7 protocolos</w:t>
      </w:r>
    </w:p>
    <w:tbl>
      <w:tblPr>
        <w:tblStyle w:val="Table"/>
        <w:tblW w:type="pct" w:w="5000"/>
        <w:tblLayout w:type="fixed"/>
        <w:tblLook w:firstRow="1" w:lastRow="0" w:firstColumn="0" w:lastColumn="0" w:noHBand="0" w:noVBand="0" w:val="0020"/>
      </w:tblPr>
      <w:tblGrid>
        <w:gridCol w:w="2489"/>
        <w:gridCol w:w="2262"/>
        <w:gridCol w:w="3168"/>
      </w:tblGrid>
      <w:tr>
        <w:trPr>
          <w:tblHeader w:val="on"/>
        </w:trPr>
        <w:tc>
          <w:tcPr/>
          <w:p>
            <w:pPr>
              <w:pStyle w:val="Compact"/>
            </w:pPr>
            <w:r>
              <w:t xml:space="preserve">Protocolo</w:t>
            </w:r>
          </w:p>
        </w:tc>
        <w:tc>
          <w:tcPr/>
          <w:p>
            <w:pPr>
              <w:pStyle w:val="Compact"/>
            </w:pPr>
            <w:r>
              <w:t xml:space="preserve">Sonda(s)</w:t>
            </w:r>
          </w:p>
        </w:tc>
        <w:tc>
          <w:tcPr/>
          <w:p>
            <w:pPr>
              <w:pStyle w:val="Compact"/>
            </w:pPr>
            <w:r>
              <w:t xml:space="preserve">O que avalia</w:t>
            </w:r>
          </w:p>
        </w:tc>
      </w:tr>
      <w:tr>
        <w:tc>
          <w:tcPr/>
          <w:p>
            <w:pPr>
              <w:pStyle w:val="Compact"/>
            </w:pPr>
            <w:r>
              <w:t xml:space="preserve">1. Viabilidade</w:t>
            </w:r>
          </w:p>
        </w:tc>
        <w:tc>
          <w:tcPr/>
          <w:p>
            <w:pPr>
              <w:pStyle w:val="Compact"/>
            </w:pPr>
            <w:r>
              <w:t xml:space="preserve">Hoechst 33342 / Iodeto de propídio (IP)</w:t>
            </w:r>
          </w:p>
        </w:tc>
        <w:tc>
          <w:tcPr/>
          <w:p>
            <w:pPr>
              <w:pStyle w:val="Compact"/>
            </w:pPr>
            <w:r>
              <w:t xml:space="preserve">Integridade de membrana plasmática</w:t>
            </w:r>
          </w:p>
        </w:tc>
      </w:tr>
      <w:tr>
        <w:tc>
          <w:tcPr/>
          <w:p>
            <w:pPr>
              <w:pStyle w:val="Compact"/>
            </w:pPr>
            <w:r>
              <w:t xml:space="preserve">2. Integridade acrossômica</w:t>
            </w:r>
          </w:p>
        </w:tc>
        <w:tc>
          <w:tcPr/>
          <w:p>
            <w:pPr>
              <w:pStyle w:val="Compact"/>
            </w:pPr>
            <w:r>
              <w:t xml:space="preserve">FITC-PNA / IP</w:t>
            </w:r>
          </w:p>
        </w:tc>
        <w:tc>
          <w:tcPr/>
          <w:p>
            <w:pPr>
              <w:pStyle w:val="Compact"/>
            </w:pPr>
            <w:r>
              <w:t xml:space="preserve">Status do acrossoma</w:t>
            </w:r>
          </w:p>
        </w:tc>
      </w:tr>
      <w:tr>
        <w:tc>
          <w:tcPr/>
          <w:p>
            <w:pPr>
              <w:pStyle w:val="Compact"/>
            </w:pPr>
            <w:r>
              <w:t xml:space="preserve">3. Potencial mitocondrial</w:t>
            </w:r>
          </w:p>
        </w:tc>
        <w:tc>
          <w:tcPr/>
          <w:p>
            <w:pPr>
              <w:pStyle w:val="Compact"/>
            </w:pPr>
            <w:r>
              <w:t xml:space="preserve">JC-1</w:t>
            </w:r>
          </w:p>
        </w:tc>
        <w:tc>
          <w:tcPr/>
          <w:p>
            <w:pPr>
              <w:pStyle w:val="Compact"/>
            </w:pPr>
            <w:r>
              <w:t xml:space="preserve">ΔΨm — função mitocondrial</w:t>
            </w:r>
          </w:p>
        </w:tc>
      </w:tr>
      <w:tr>
        <w:tc>
          <w:tcPr/>
          <w:p>
            <w:pPr>
              <w:pStyle w:val="Compact"/>
            </w:pPr>
            <w:r>
              <w:t xml:space="preserve">4. Produção de ROS</w:t>
            </w:r>
          </w:p>
        </w:tc>
        <w:tc>
          <w:tcPr/>
          <w:p>
            <w:pPr>
              <w:pStyle w:val="Compact"/>
            </w:pPr>
            <w:r>
              <w:t xml:space="preserve">CellROX Deep Red / H₂DCFDA</w:t>
            </w:r>
          </w:p>
        </w:tc>
        <w:tc>
          <w:tcPr/>
          <w:p>
            <w:pPr>
              <w:pStyle w:val="Compact"/>
            </w:pPr>
            <w:r>
              <w:t xml:space="preserve">Espécies reativas de oxigênio intracelulares</w:t>
            </w:r>
          </w:p>
        </w:tc>
      </w:tr>
      <w:tr>
        <w:tc>
          <w:tcPr/>
          <w:p>
            <w:pPr>
              <w:pStyle w:val="Compact"/>
            </w:pPr>
            <w:r>
              <w:t xml:space="preserve">5. Peroxidação lipídica</w:t>
            </w:r>
          </w:p>
        </w:tc>
        <w:tc>
          <w:tcPr/>
          <w:p>
            <w:pPr>
              <w:pStyle w:val="Compact"/>
            </w:pPr>
            <w:r>
              <w:t xml:space="preserve">C11-BODIPY 581/591</w:t>
            </w:r>
          </w:p>
        </w:tc>
        <w:tc>
          <w:tcPr/>
          <w:p>
            <w:pPr>
              <w:pStyle w:val="Compact"/>
            </w:pPr>
            <w:r>
              <w:t xml:space="preserve">Lipoperoxidação de membrana in situ</w:t>
            </w:r>
          </w:p>
        </w:tc>
      </w:tr>
      <w:tr>
        <w:tc>
          <w:tcPr/>
          <w:p>
            <w:pPr>
              <w:pStyle w:val="Compact"/>
            </w:pPr>
            <w:r>
              <w:t xml:space="preserve">6. Superóxido mitocondrial</w:t>
            </w:r>
          </w:p>
        </w:tc>
        <w:tc>
          <w:tcPr/>
          <w:p>
            <w:pPr>
              <w:pStyle w:val="Compact"/>
            </w:pPr>
            <w:r>
              <w:t xml:space="preserve">MitoSOX Red</w:t>
            </w:r>
          </w:p>
        </w:tc>
        <w:tc>
          <w:tcPr/>
          <w:p>
            <w:pPr>
              <w:pStyle w:val="Compact"/>
            </w:pPr>
            <w:r>
              <w:t xml:space="preserve">O₂⁻ específico da mitocôndria</w:t>
            </w:r>
          </w:p>
        </w:tc>
      </w:tr>
      <w:tr>
        <w:tc>
          <w:tcPr/>
          <w:p>
            <w:pPr>
              <w:pStyle w:val="Compact"/>
            </w:pPr>
            <w:r>
              <w:t xml:space="preserve">7. Caspase 3 ativada</w:t>
            </w:r>
          </w:p>
        </w:tc>
        <w:tc>
          <w:tcPr/>
          <w:p>
            <w:pPr>
              <w:pStyle w:val="Compact"/>
            </w:pPr>
            <w:r>
              <w:t xml:space="preserve">FITC-VAD-FMK</w:t>
            </w:r>
          </w:p>
        </w:tc>
        <w:tc>
          <w:tcPr/>
          <w:p>
            <w:pPr>
              <w:pStyle w:val="Compact"/>
            </w:pPr>
            <w:r>
              <w:t xml:space="preserve">Via intrínseca (mitocondrial) de apoptose</w:t>
            </w:r>
          </w:p>
        </w:tc>
      </w:tr>
    </w:tbl>
    <w:p>
      <w:pPr>
        <w:pStyle w:val="BodyText"/>
      </w:pPr>
      <w:r>
        <w:t xml:space="preserve">Equipamento: citômetro BD LSR Fortessa (CERAN/UNESP). Mínimo de 10.000 eventos por amostra. Análise de subpopulações por clustering não-supervisionado (t-SNE ou UMAP) além das estatísticas populacionais.</w:t>
      </w:r>
    </w:p>
    <w:p>
      <w:pPr>
        <w:pStyle w:val="BodyText"/>
      </w:pPr>
      <w:r>
        <w:rPr>
          <w:b/>
          <w:bCs/>
        </w:rPr>
        <w:t xml:space="preserve">Sugestões adicionais do especialista Fernando Peña (Univ. Extremadura):</w:t>
      </w:r>
      <w:r>
        <w:t xml:space="preserve"> </w:t>
      </w:r>
      <w:r>
        <w:t xml:space="preserve">- Incluir</w:t>
      </w:r>
      <w:r>
        <w:t xml:space="preserve"> </w:t>
      </w:r>
      <w:r>
        <w:rPr>
          <w:b/>
          <w:bCs/>
        </w:rPr>
        <w:t xml:space="preserve">ThiolTracker Violet</w:t>
      </w:r>
      <w:r>
        <w:t xml:space="preserve"> </w:t>
      </w:r>
      <w:r>
        <w:t xml:space="preserve">ou monobromobimane para quantificação de tióis intracelulares — marcador integrado com correlação de r = 0,931 com motilidade total (PEÑA et al., 2019).</w:t>
      </w:r>
      <w:r>
        <w:t xml:space="preserve"> </w:t>
      </w:r>
      <w:r>
        <w:t xml:space="preserve">- Incluir</w:t>
      </w:r>
      <w:r>
        <w:t xml:space="preserve"> </w:t>
      </w:r>
      <w:r>
        <w:rPr>
          <w:b/>
          <w:bCs/>
        </w:rPr>
        <w:t xml:space="preserve">anticorpo anti-4-HNE</w:t>
      </w:r>
      <w:r>
        <w:t xml:space="preserve"> </w:t>
      </w:r>
      <w:r>
        <w:t xml:space="preserve">conjugado a fluorocromo para detecção direta do 4-hidroxinonenal, produto prevalente de peroxidação lipídica em equinos.</w:t>
      </w:r>
      <w:r>
        <w:t xml:space="preserve"> </w:t>
      </w:r>
      <w:r>
        <w:t xml:space="preserve">- Análise de</w:t>
      </w:r>
      <w:r>
        <w:t xml:space="preserve"> </w:t>
      </w:r>
      <w:r>
        <w:rPr>
          <w:b/>
          <w:bCs/>
        </w:rPr>
        <w:t xml:space="preserve">gammaH2AX</w:t>
      </w:r>
      <w:r>
        <w:t xml:space="preserve"> </w:t>
      </w:r>
      <w:r>
        <w:t xml:space="preserve">(histona H2A.X fosforilada) como complemento ao SCSA para detecção de quebras de fita dupla em estágio inicial.</w:t>
      </w:r>
    </w:p>
    <w:bookmarkEnd w:id="33"/>
    <w:bookmarkStart w:id="34" w:name="fragmentação-de-dna-scsa"/>
    <w:p>
      <w:pPr>
        <w:pStyle w:val="Heading3"/>
      </w:pPr>
      <w:r>
        <w:t xml:space="preserve">5.6 Fragmentação de DNA — SCSA</w:t>
      </w:r>
    </w:p>
    <w:p>
      <w:pPr>
        <w:pStyle w:val="FirstParagraph"/>
      </w:pPr>
      <w:r>
        <w:t xml:space="preserve">Ensaio de Estrutura da Cromatina Espermática (</w:t>
      </w:r>
      <w:r>
        <w:rPr>
          <w:i/>
          <w:iCs/>
        </w:rPr>
        <w:t xml:space="preserve">Sperm Chromatin Structure Assay</w:t>
      </w:r>
      <w:r>
        <w:t xml:space="preserve">) com acridina laranja por citometria de fluxo. Resultado principal: %DFI (Índice de Fragmentação de DNA — percentual de espermatozoides com DNA desnaturável). Em garanhões, %DFI &gt; 15% é associado a queda de fertilidade.</w:t>
      </w:r>
    </w:p>
    <w:bookmarkEnd w:id="34"/>
    <w:bookmarkStart w:id="35" w:name="Xbb612cf3e1e7a67616aa95196a1b50801499218"/>
    <w:p>
      <w:pPr>
        <w:pStyle w:val="Heading3"/>
      </w:pPr>
      <w:r>
        <w:t xml:space="preserve">5.7 Estresse oxidativo sistêmico (sangue) — UNIPEX/UNESP</w:t>
      </w:r>
    </w:p>
    <w:tbl>
      <w:tblPr>
        <w:tblStyle w:val="Table"/>
        <w:tblW w:type="pct" w:w="5000"/>
        <w:tblLayout w:type="fixed"/>
        <w:tblLook w:firstRow="1" w:lastRow="0" w:firstColumn="0" w:lastColumn="0" w:noHBand="0" w:noVBand="0" w:val="0020"/>
      </w:tblPr>
      <w:tblGrid>
        <w:gridCol w:w="1782"/>
        <w:gridCol w:w="1584"/>
        <w:gridCol w:w="1584"/>
        <w:gridCol w:w="2970"/>
      </w:tblGrid>
      <w:tr>
        <w:trPr>
          <w:tblHeader w:val="on"/>
        </w:trPr>
        <w:tc>
          <w:tcPr/>
          <w:p>
            <w:pPr>
              <w:pStyle w:val="Compact"/>
            </w:pPr>
            <w:r>
              <w:t xml:space="preserve">Análise</w:t>
            </w:r>
          </w:p>
        </w:tc>
        <w:tc>
          <w:tcPr/>
          <w:p>
            <w:pPr>
              <w:pStyle w:val="Compact"/>
            </w:pPr>
            <w:r>
              <w:t xml:space="preserve">Método</w:t>
            </w:r>
          </w:p>
        </w:tc>
        <w:tc>
          <w:tcPr/>
          <w:p>
            <w:pPr>
              <w:pStyle w:val="Compact"/>
            </w:pPr>
            <w:r>
              <w:t xml:space="preserve">Matriz</w:t>
            </w:r>
          </w:p>
        </w:tc>
        <w:tc>
          <w:tcPr/>
          <w:p>
            <w:pPr>
              <w:pStyle w:val="Compact"/>
            </w:pPr>
            <w:r>
              <w:t xml:space="preserve">Armazenamento</w:t>
            </w:r>
          </w:p>
        </w:tc>
      </w:tr>
      <w:tr>
        <w:tc>
          <w:tcPr/>
          <w:p>
            <w:pPr>
              <w:pStyle w:val="Compact"/>
            </w:pPr>
            <w:r>
              <w:t xml:space="preserve">TBARS/MDA</w:t>
            </w:r>
          </w:p>
        </w:tc>
        <w:tc>
          <w:tcPr/>
          <w:p>
            <w:pPr>
              <w:pStyle w:val="Compact"/>
            </w:pPr>
            <w:r>
              <w:t xml:space="preserve">Colorimétrico (OHKAWA; OHISHI; YAGI, 1979) — leitura a 532 nm</w:t>
            </w:r>
          </w:p>
        </w:tc>
        <w:tc>
          <w:tcPr/>
          <w:p>
            <w:pPr>
              <w:pStyle w:val="Compact"/>
            </w:pPr>
            <w:r>
              <w:t xml:space="preserve">Soro (tubo sem anticoagulante, 2.000 × g, 10 min)</w:t>
            </w:r>
          </w:p>
        </w:tc>
        <w:tc>
          <w:tcPr/>
          <w:p>
            <w:pPr>
              <w:pStyle w:val="Compact"/>
            </w:pPr>
            <w:r>
              <w:t xml:space="preserve">−80°C com BHT 1×, máx. 1–2 meses</w:t>
            </w:r>
          </w:p>
        </w:tc>
      </w:tr>
      <w:tr>
        <w:tc>
          <w:tcPr/>
          <w:p>
            <w:pPr>
              <w:pStyle w:val="Compact"/>
            </w:pPr>
            <w:r>
              <w:t xml:space="preserve">SOD</w:t>
            </w:r>
          </w:p>
        </w:tc>
        <w:tc>
          <w:tcPr/>
          <w:p>
            <w:pPr>
              <w:pStyle w:val="Compact"/>
            </w:pPr>
            <w:r>
              <w:t xml:space="preserve">Inibição da autooxidação do pirogalol ou WST-1 — leitura a 450 nm</w:t>
            </w:r>
          </w:p>
        </w:tc>
        <w:tc>
          <w:tcPr/>
          <w:p>
            <w:pPr>
              <w:pStyle w:val="Compact"/>
            </w:pPr>
            <w:r>
              <w:t xml:space="preserve">Plasma (heparina de lítio)</w:t>
            </w:r>
          </w:p>
        </w:tc>
        <w:tc>
          <w:tcPr/>
          <w:p>
            <w:pPr>
              <w:pStyle w:val="Compact"/>
            </w:pPr>
            <w:r>
              <w:t xml:space="preserve">−80°C</w:t>
            </w:r>
          </w:p>
        </w:tc>
      </w:tr>
      <w:tr>
        <w:tc>
          <w:tcPr/>
          <w:p>
            <w:pPr>
              <w:pStyle w:val="Compact"/>
            </w:pPr>
            <w:r>
              <w:t xml:space="preserve">CAT</w:t>
            </w:r>
          </w:p>
        </w:tc>
        <w:tc>
          <w:tcPr/>
          <w:p>
            <w:pPr>
              <w:pStyle w:val="Compact"/>
            </w:pPr>
            <w:r>
              <w:t xml:space="preserve">Decomposição de H₂O₂ (AEBI, 1984) — leitura a 240 nm</w:t>
            </w:r>
          </w:p>
        </w:tc>
        <w:tc>
          <w:tcPr/>
          <w:p>
            <w:pPr>
              <w:pStyle w:val="Compact"/>
            </w:pPr>
            <w:r>
              <w:t xml:space="preserve">Plasma (heparina de lítio)</w:t>
            </w:r>
          </w:p>
        </w:tc>
        <w:tc>
          <w:tcPr/>
          <w:p>
            <w:pPr>
              <w:pStyle w:val="Compact"/>
            </w:pPr>
            <w:r>
              <w:t xml:space="preserve">−80°C</w:t>
            </w:r>
          </w:p>
        </w:tc>
      </w:tr>
      <w:tr>
        <w:tc>
          <w:tcPr/>
          <w:p>
            <w:pPr>
              <w:pStyle w:val="Compact"/>
            </w:pPr>
            <w:r>
              <w:t xml:space="preserve">GPx</w:t>
            </w:r>
          </w:p>
        </w:tc>
        <w:tc>
          <w:tcPr/>
          <w:p>
            <w:pPr>
              <w:pStyle w:val="Compact"/>
            </w:pPr>
            <w:r>
              <w:t xml:space="preserve">Oxidação de NADPH — leitura a 340 nm</w:t>
            </w:r>
          </w:p>
        </w:tc>
        <w:tc>
          <w:tcPr/>
          <w:p>
            <w:pPr>
              <w:pStyle w:val="Compact"/>
            </w:pPr>
            <w:r>
              <w:t xml:space="preserve">Plasma (heparina de lítio)</w:t>
            </w:r>
          </w:p>
        </w:tc>
        <w:tc>
          <w:tcPr/>
          <w:p>
            <w:pPr>
              <w:pStyle w:val="Compact"/>
            </w:pPr>
            <w:r>
              <w:t xml:space="preserve">−80°C</w:t>
            </w:r>
          </w:p>
        </w:tc>
      </w:tr>
      <w:tr>
        <w:tc>
          <w:tcPr/>
          <w:p>
            <w:pPr>
              <w:pStyle w:val="Compact"/>
            </w:pPr>
            <w:r>
              <w:t xml:space="preserve">TAC</w:t>
            </w:r>
          </w:p>
        </w:tc>
        <w:tc>
          <w:tcPr/>
          <w:p>
            <w:pPr>
              <w:pStyle w:val="Compact"/>
            </w:pPr>
            <w:r>
              <w:t xml:space="preserve">DPPH ou ABTS — leitura colorimétrica</w:t>
            </w:r>
          </w:p>
        </w:tc>
        <w:tc>
          <w:tcPr/>
          <w:p>
            <w:pPr>
              <w:pStyle w:val="Compact"/>
            </w:pPr>
            <w:r>
              <w:t xml:space="preserve">Plasma (heparina de lítio, NÃO EDTA)</w:t>
            </w:r>
          </w:p>
        </w:tc>
        <w:tc>
          <w:tcPr/>
          <w:p>
            <w:pPr>
              <w:pStyle w:val="Compact"/>
            </w:pPr>
            <w:r>
              <w:t xml:space="preserve">−80°C, máx. 4 semanas</w:t>
            </w:r>
          </w:p>
        </w:tc>
      </w:tr>
    </w:tbl>
    <w:p>
      <w:pPr>
        <w:pStyle w:val="BodyText"/>
      </w:pPr>
      <w:r>
        <w:rPr>
          <w:b/>
          <w:bCs/>
        </w:rPr>
        <w:t xml:space="preserve">Importante:</w:t>
      </w:r>
      <w:r>
        <w:t xml:space="preserve"> </w:t>
      </w:r>
      <w:r>
        <w:t xml:space="preserve">Tubos com EDTA dipotássico e NaF/Na₂EDTA devem ser evitados para TAC, pois seus compostos quelantes comprometem a precisão do ensaio. Heparina de lítio é a primeira escolha.</w:t>
      </w:r>
    </w:p>
    <w:bookmarkEnd w:id="35"/>
    <w:bookmarkStart w:id="36" w:name="estresse-oxidativo-seminal"/>
    <w:p>
      <w:pPr>
        <w:pStyle w:val="Heading3"/>
      </w:pPr>
      <w:r>
        <w:t xml:space="preserve">5.8 Estresse oxidativo seminal</w:t>
      </w:r>
    </w:p>
    <w:tbl>
      <w:tblPr>
        <w:tblStyle w:val="Table"/>
        <w:tblW w:type="pct" w:w="5000"/>
        <w:tblLayout w:type="fixed"/>
        <w:tblLook w:firstRow="1" w:lastRow="0" w:firstColumn="0" w:lastColumn="0" w:noHBand="0" w:noVBand="0" w:val="0020"/>
      </w:tblPr>
      <w:tblGrid>
        <w:gridCol w:w="1782"/>
        <w:gridCol w:w="1584"/>
        <w:gridCol w:w="1584"/>
        <w:gridCol w:w="2970"/>
      </w:tblGrid>
      <w:tr>
        <w:trPr>
          <w:tblHeader w:val="on"/>
        </w:trPr>
        <w:tc>
          <w:tcPr/>
          <w:p>
            <w:pPr>
              <w:pStyle w:val="Compact"/>
            </w:pPr>
            <w:r>
              <w:t xml:space="preserve">Análise</w:t>
            </w:r>
          </w:p>
        </w:tc>
        <w:tc>
          <w:tcPr/>
          <w:p>
            <w:pPr>
              <w:pStyle w:val="Compact"/>
            </w:pPr>
            <w:r>
              <w:t xml:space="preserve">Método</w:t>
            </w:r>
          </w:p>
        </w:tc>
        <w:tc>
          <w:tcPr/>
          <w:p>
            <w:pPr>
              <w:pStyle w:val="Compact"/>
            </w:pPr>
            <w:r>
              <w:t xml:space="preserve">Matriz</w:t>
            </w:r>
          </w:p>
        </w:tc>
        <w:tc>
          <w:tcPr/>
          <w:p>
            <w:pPr>
              <w:pStyle w:val="Compact"/>
            </w:pPr>
            <w:r>
              <w:t xml:space="preserve">Armazenamento</w:t>
            </w:r>
          </w:p>
        </w:tc>
      </w:tr>
      <w:tr>
        <w:tc>
          <w:tcPr/>
          <w:p>
            <w:pPr>
              <w:pStyle w:val="Compact"/>
            </w:pPr>
            <w:r>
              <w:t xml:space="preserve">TBARS/MDA</w:t>
            </w:r>
          </w:p>
        </w:tc>
        <w:tc>
          <w:tcPr/>
          <w:p>
            <w:pPr>
              <w:pStyle w:val="Compact"/>
            </w:pPr>
            <w:r>
              <w:t xml:space="preserve">Colorimétrico (OHKAWA; OHISHI; YAGI, 1979) — leitura a 532 nm</w:t>
            </w:r>
          </w:p>
        </w:tc>
        <w:tc>
          <w:tcPr/>
          <w:p>
            <w:pPr>
              <w:pStyle w:val="Compact"/>
            </w:pPr>
            <w:r>
              <w:t xml:space="preserve">Plasma seminal (800 × g, 10 min)</w:t>
            </w:r>
          </w:p>
        </w:tc>
        <w:tc>
          <w:tcPr/>
          <w:p>
            <w:pPr>
              <w:pStyle w:val="Compact"/>
            </w:pPr>
            <w:r>
              <w:t xml:space="preserve">−80°C com BHT 1×, máx. 1–2 meses</w:t>
            </w:r>
          </w:p>
        </w:tc>
      </w:tr>
      <w:tr>
        <w:tc>
          <w:tcPr/>
          <w:p>
            <w:pPr>
              <w:pStyle w:val="Compact"/>
            </w:pPr>
            <w:r>
              <w:t xml:space="preserve">ROS</w:t>
            </w:r>
          </w:p>
        </w:tc>
        <w:tc>
          <w:tcPr/>
          <w:p>
            <w:pPr>
              <w:pStyle w:val="Compact"/>
            </w:pPr>
            <w:r>
              <w:t xml:space="preserve">CellROX / H₂DCFDA — citometria de fluxo</w:t>
            </w:r>
          </w:p>
        </w:tc>
        <w:tc>
          <w:tcPr/>
          <w:p>
            <w:pPr>
              <w:pStyle w:val="Compact"/>
            </w:pPr>
            <w:r>
              <w:t xml:space="preserve">Espermatozoides</w:t>
            </w:r>
          </w:p>
        </w:tc>
        <w:tc>
          <w:tcPr/>
          <w:p>
            <w:pPr>
              <w:pStyle w:val="Compact"/>
            </w:pPr>
            <w:r>
              <w:t xml:space="preserve">Análise imediata</w:t>
            </w:r>
          </w:p>
        </w:tc>
      </w:tr>
      <w:tr>
        <w:tc>
          <w:tcPr/>
          <w:p>
            <w:pPr>
              <w:pStyle w:val="Compact"/>
            </w:pPr>
            <w:r>
              <w:t xml:space="preserve">C11-BODIPY</w:t>
            </w:r>
          </w:p>
        </w:tc>
        <w:tc>
          <w:tcPr/>
          <w:p>
            <w:pPr>
              <w:pStyle w:val="Compact"/>
            </w:pPr>
            <w:r>
              <w:t xml:space="preserve">C11-BODIPY 581/591 — citometria de fluxo</w:t>
            </w:r>
          </w:p>
        </w:tc>
        <w:tc>
          <w:tcPr/>
          <w:p>
            <w:pPr>
              <w:pStyle w:val="Compact"/>
            </w:pPr>
            <w:r>
              <w:t xml:space="preserve">Espermatozoides</w:t>
            </w:r>
          </w:p>
        </w:tc>
        <w:tc>
          <w:tcPr/>
          <w:p>
            <w:pPr>
              <w:pStyle w:val="Compact"/>
            </w:pPr>
            <w:r>
              <w:t xml:space="preserve">Análise imediata</w:t>
            </w:r>
          </w:p>
        </w:tc>
      </w:tr>
    </w:tbl>
    <w:bookmarkEnd w:id="36"/>
    <w:bookmarkStart w:id="37" w:name="perfil-hormonal"/>
    <w:p>
      <w:pPr>
        <w:pStyle w:val="Heading3"/>
      </w:pPr>
      <w:r>
        <w:t xml:space="preserve">5.9 Perfil hormonal</w:t>
      </w:r>
    </w:p>
    <w:tbl>
      <w:tblPr>
        <w:tblStyle w:val="Table"/>
        <w:tblW w:type="pct" w:w="5000"/>
        <w:tblLayout w:type="fixed"/>
        <w:tblLook w:firstRow="1" w:lastRow="0" w:firstColumn="0" w:lastColumn="0" w:noHBand="0" w:noVBand="0" w:val="0020"/>
      </w:tblPr>
      <w:tblGrid>
        <w:gridCol w:w="2030"/>
        <w:gridCol w:w="1624"/>
        <w:gridCol w:w="1624"/>
        <w:gridCol w:w="2640"/>
      </w:tblGrid>
      <w:tr>
        <w:trPr>
          <w:tblHeader w:val="on"/>
        </w:trPr>
        <w:tc>
          <w:tcPr/>
          <w:p>
            <w:pPr>
              <w:pStyle w:val="Compact"/>
            </w:pPr>
            <w:r>
              <w:t xml:space="preserve">Hormônio</w:t>
            </w:r>
          </w:p>
        </w:tc>
        <w:tc>
          <w:tcPr/>
          <w:p>
            <w:pPr>
              <w:pStyle w:val="Compact"/>
            </w:pPr>
            <w:r>
              <w:t xml:space="preserve">Método</w:t>
            </w:r>
          </w:p>
        </w:tc>
        <w:tc>
          <w:tcPr/>
          <w:p>
            <w:pPr>
              <w:pStyle w:val="Compact"/>
            </w:pPr>
            <w:r>
              <w:t xml:space="preserve">Matriz</w:t>
            </w:r>
          </w:p>
        </w:tc>
        <w:tc>
          <w:tcPr/>
          <w:p>
            <w:pPr>
              <w:pStyle w:val="Compact"/>
            </w:pPr>
            <w:r>
              <w:t xml:space="preserve">O que avalia</w:t>
            </w:r>
          </w:p>
        </w:tc>
      </w:tr>
      <w:tr>
        <w:tc>
          <w:tcPr/>
          <w:p>
            <w:pPr>
              <w:pStyle w:val="Compact"/>
            </w:pPr>
            <w:r>
              <w:t xml:space="preserve">Testosterona total</w:t>
            </w:r>
          </w:p>
        </w:tc>
        <w:tc>
          <w:tcPr/>
          <w:p>
            <w:pPr>
              <w:pStyle w:val="Compact"/>
            </w:pPr>
            <w:r>
              <w:t xml:space="preserve">ELISA equino</w:t>
            </w:r>
          </w:p>
        </w:tc>
        <w:tc>
          <w:tcPr/>
          <w:p>
            <w:pPr>
              <w:pStyle w:val="Compact"/>
            </w:pPr>
            <w:r>
              <w:t xml:space="preserve">Soro</w:t>
            </w:r>
          </w:p>
        </w:tc>
        <w:tc>
          <w:tcPr/>
          <w:p>
            <w:pPr>
              <w:pStyle w:val="Compact"/>
            </w:pPr>
            <w:r>
              <w:t xml:space="preserve">Função de Leydig</w:t>
            </w:r>
          </w:p>
        </w:tc>
      </w:tr>
      <w:tr>
        <w:tc>
          <w:tcPr/>
          <w:p>
            <w:pPr>
              <w:pStyle w:val="Compact"/>
            </w:pPr>
            <w:r>
              <w:t xml:space="preserve">Estradiol (E2)</w:t>
            </w:r>
          </w:p>
        </w:tc>
        <w:tc>
          <w:tcPr/>
          <w:p>
            <w:pPr>
              <w:pStyle w:val="Compact"/>
            </w:pPr>
            <w:r>
              <w:t xml:space="preserve">ELISA equino</w:t>
            </w:r>
          </w:p>
        </w:tc>
        <w:tc>
          <w:tcPr/>
          <w:p>
            <w:pPr>
              <w:pStyle w:val="Compact"/>
            </w:pPr>
            <w:r>
              <w:t xml:space="preserve">Soro</w:t>
            </w:r>
          </w:p>
        </w:tc>
        <w:tc>
          <w:tcPr/>
          <w:p>
            <w:pPr>
              <w:pStyle w:val="Compact"/>
            </w:pPr>
            <w:r>
              <w:t xml:space="preserve">Aromatização / feedback HHG</w:t>
            </w:r>
          </w:p>
        </w:tc>
      </w:tr>
      <w:tr>
        <w:tc>
          <w:tcPr/>
          <w:p>
            <w:pPr>
              <w:pStyle w:val="Compact"/>
            </w:pPr>
            <w:r>
              <w:t xml:space="preserve">Inibina B</w:t>
            </w:r>
          </w:p>
        </w:tc>
        <w:tc>
          <w:tcPr/>
          <w:p>
            <w:pPr>
              <w:pStyle w:val="Compact"/>
            </w:pPr>
            <w:r>
              <w:t xml:space="preserve">ELISA equino validado</w:t>
            </w:r>
          </w:p>
        </w:tc>
        <w:tc>
          <w:tcPr/>
          <w:p>
            <w:pPr>
              <w:pStyle w:val="Compact"/>
            </w:pPr>
            <w:r>
              <w:t xml:space="preserve">Soro</w:t>
            </w:r>
          </w:p>
        </w:tc>
        <w:tc>
          <w:tcPr/>
          <w:p>
            <w:pPr>
              <w:pStyle w:val="Compact"/>
            </w:pPr>
            <w:r>
              <w:t xml:space="preserve">Função de Sertoli — marcador mais direto de integridade tubular</w:t>
            </w:r>
          </w:p>
        </w:tc>
      </w:tr>
    </w:tbl>
    <w:p>
      <w:pPr>
        <w:pStyle w:val="BodyText"/>
      </w:pPr>
      <w:r>
        <w:rPr>
          <w:b/>
          <w:bCs/>
        </w:rPr>
        <w:t xml:space="preserve">Nota:</w:t>
      </w:r>
      <w:r>
        <w:t xml:space="preserve"> </w:t>
      </w:r>
      <w:r>
        <w:t xml:space="preserve">FSH e LH foram excluídos do painel nuclear por razões de custo-benefício. A inibina B isoladamente é o marcador mais direto e específico de integridade tubular e função Sertoliana (NAGATA et al., 1998; STEWART; ROSER, 1998), enquanto a testosterona e o estradiol fornecem informação adequada sobre a função de Leydig e aromatização.</w:t>
      </w:r>
    </w:p>
    <w:p>
      <w:pPr>
        <w:pStyle w:val="BodyText"/>
      </w:pPr>
      <w:r>
        <w:rPr>
          <w:b/>
          <w:bCs/>
        </w:rPr>
        <w:t xml:space="preserve">Coleta:</w:t>
      </w:r>
      <w:r>
        <w:t xml:space="preserve"> </w:t>
      </w:r>
      <w:r>
        <w:t xml:space="preserve">Tubo de soro, sempre no mesmo horário da manhã (antes da coleta seminal), centrifugação a 2.000 × g por 10 min, alíquotas de 0,5–1 mL em crioviais, −20°C ou −80°C. Envio ao laboratório em lote.</w:t>
      </w:r>
    </w:p>
    <w:bookmarkEnd w:id="37"/>
    <w:bookmarkStart w:id="38" w:name="teste-de-estímulo-com-gnrh-condicional"/>
    <w:p>
      <w:pPr>
        <w:pStyle w:val="Heading3"/>
      </w:pPr>
      <w:r>
        <w:t xml:space="preserve">5.9.1 Teste de estímulo com GnRH [Condicional]</w:t>
      </w:r>
    </w:p>
    <w:p>
      <w:pPr>
        <w:pStyle w:val="FirstParagraph"/>
      </w:pPr>
      <w:r>
        <w:t xml:space="preserve">Caso a análise hormonal basal revele achados ambíguos ou interesse clínico específico, poderá ser realizado teste de estímulo com GnRH (50 μg IV, dosagens de testosterona basal, 30 e 60 min pós-estímulo) para avaliar a reserva funcional de Leydig. Este módulo</w:t>
      </w:r>
      <w:r>
        <w:t xml:space="preserve"> </w:t>
      </w:r>
      <w:r>
        <w:rPr>
          <w:b/>
          <w:bCs/>
        </w:rPr>
        <w:t xml:space="preserve">não integra o núcleo obrigatório</w:t>
      </w:r>
      <w:r>
        <w:t xml:space="preserve"> </w:t>
      </w:r>
      <w:r>
        <w:t xml:space="preserve">do projeto, sendo ativado apenas se houver indicação clínica e disponibilidade orçamentária.</w:t>
      </w:r>
    </w:p>
    <w:bookmarkEnd w:id="38"/>
    <w:bookmarkStart w:id="39" w:name="Xe69685e33bd3c52e21a876173bb092fd1591c6a"/>
    <w:p>
      <w:pPr>
        <w:pStyle w:val="Heading3"/>
      </w:pPr>
      <w:r>
        <w:t xml:space="preserve">5.10 Proteômica do plasma seminal [Módulo Condicional Complementar]</w:t>
      </w:r>
    </w:p>
    <w:p>
      <w:pPr>
        <w:pStyle w:val="FirstParagraph"/>
      </w:pPr>
      <w:r>
        <w:rPr>
          <w:b/>
          <w:bCs/>
        </w:rPr>
        <w:t xml:space="preserve">Status:</w:t>
      </w:r>
      <w:r>
        <w:t xml:space="preserve"> </w:t>
      </w:r>
      <w:r>
        <w:t xml:space="preserve">Este módulo é</w:t>
      </w:r>
      <w:r>
        <w:t xml:space="preserve"> </w:t>
      </w:r>
      <w:r>
        <w:rPr>
          <w:b/>
          <w:bCs/>
        </w:rPr>
        <w:t xml:space="preserve">condicional</w:t>
      </w:r>
      <w:r>
        <w:t xml:space="preserve"> </w:t>
      </w:r>
      <w:r>
        <w:t xml:space="preserve">— sua execução depende de disponibilidade orçamentária (reserva técnica FAPESP, taxa de bancada ou financiamento complementar). As amostras de plasma seminal serão coletadas e armazenadas a −80°C independentemente da decisão de execução, garantindo que o material esteja disponível caso o módulo seja ativado.</w:t>
      </w:r>
    </w:p>
    <w:p>
      <w:pPr>
        <w:pStyle w:val="BodyText"/>
      </w:pPr>
      <w:r>
        <w:rPr>
          <w:b/>
          <w:bCs/>
        </w:rPr>
        <w:t xml:space="preserve">Metodologia (se ativado):</w:t>
      </w:r>
      <w:r>
        <w:t xml:space="preserve"> </w:t>
      </w:r>
      <w:r>
        <w:t xml:space="preserve">Amostras de plasma seminal armazenadas a −80°C serão processadas por cromatografia líquida de ultra-alta performance acoplada à espectrometria de massas em tandem (UHPLC-MS/MS). Abordagem</w:t>
      </w:r>
      <w:r>
        <w:t xml:space="preserve"> </w:t>
      </w:r>
      <w:r>
        <w:rPr>
          <w:i/>
          <w:iCs/>
        </w:rPr>
        <w:t xml:space="preserve">label-free quantitative</w:t>
      </w:r>
      <w:r>
        <w:t xml:space="preserve"> </w:t>
      </w:r>
      <w:r>
        <w:t xml:space="preserve">(LFQ) com replicatas técnicas.</w:t>
      </w:r>
    </w:p>
    <w:p>
      <w:pPr>
        <w:pStyle w:val="BodyText"/>
      </w:pPr>
      <w:r>
        <w:rPr>
          <w:b/>
          <w:bCs/>
        </w:rPr>
        <w:t xml:space="preserve">Foco da análise bioinformática (pathways e enriquecimento funcional):</w:t>
      </w:r>
      <w:r>
        <w:t xml:space="preserve"> </w:t>
      </w:r>
      <w:r>
        <w:t xml:space="preserve">- Enzimas antioxidantes: SOD1, AKR1B1, PRDXs, tiorredoxina</w:t>
      </w:r>
      <w:r>
        <w:t xml:space="preserve"> </w:t>
      </w:r>
      <w:r>
        <w:t xml:space="preserve">- Proteínas do ciclo de Krebs e OXPHOS</w:t>
      </w:r>
      <w:r>
        <w:t xml:space="preserve"> </w:t>
      </w:r>
      <w:r>
        <w:t xml:space="preserve">- Proteínas de choque térmico: HSPs, chaperones</w:t>
      </w:r>
      <w:r>
        <w:t xml:space="preserve"> </w:t>
      </w:r>
      <w:r>
        <w:t xml:space="preserve">- Proteínas de capacitação e interação com oviduto</w:t>
      </w:r>
      <w:r>
        <w:t xml:space="preserve"> </w:t>
      </w:r>
      <w:r>
        <w:t xml:space="preserve">- Proteínas testículo-específicas: LDHC, PGK2, DPEP3, HSPA2, HSPA4L</w:t>
      </w:r>
    </w:p>
    <w:p>
      <w:pPr>
        <w:pStyle w:val="BodyText"/>
      </w:pPr>
      <w:r>
        <w:t xml:space="preserve">Validação de proteínas-chave por Western blot ou ELISA em amostras individuais.</w:t>
      </w:r>
    </w:p>
    <w:p>
      <w:pPr>
        <w:pStyle w:val="BodyText"/>
      </w:pPr>
      <w:r>
        <w:rPr>
          <w:b/>
          <w:bCs/>
        </w:rPr>
        <w:t xml:space="preserve">Possibilidade de pooling:</w:t>
      </w:r>
      <w:r>
        <w:t xml:space="preserve"> </w:t>
      </w:r>
      <w:r>
        <w:t xml:space="preserve">Se o custo por amostra individual for proibitivo, pools de plasma seminal por grupo (pool GA × pool GS em triplicata biológica) podem ser utilizados para reduzir o número de corridas.</w:t>
      </w:r>
    </w:p>
    <w:p>
      <w:pPr>
        <w:pStyle w:val="BodyText"/>
      </w:pPr>
      <w:r>
        <w:rPr>
          <w:b/>
          <w:bCs/>
        </w:rPr>
        <w:t xml:space="preserve">Justificativa da condicionalidade:</w:t>
      </w:r>
      <w:r>
        <w:t xml:space="preserve"> </w:t>
      </w:r>
      <w:r>
        <w:t xml:space="preserve">A proteômica por LC-MS/MS representa investimento significativo (~R$ 40–80 mil para análise individual ou ~R$ 15–25 mil em pool). O projeto foi desenhado para que os objetivos nucleares (1–4, 6) sejam autocontidos e publicáveis independentemente da proteômica.</w:t>
      </w:r>
    </w:p>
    <w:bookmarkEnd w:id="39"/>
    <w:bookmarkStart w:id="40" w:name="biobanco-de-dna-espermático"/>
    <w:p>
      <w:pPr>
        <w:pStyle w:val="Heading3"/>
      </w:pPr>
      <w:r>
        <w:t xml:space="preserve">5.11 Biobanco de DNA espermático</w:t>
      </w:r>
    </w:p>
    <w:p>
      <w:pPr>
        <w:pStyle w:val="FirstParagraph"/>
      </w:pPr>
      <w:r>
        <w:rPr>
          <w:b/>
          <w:bCs/>
        </w:rPr>
        <w:t xml:space="preserve">Protocolo:</w:t>
      </w:r>
      <w:r>
        <w:t xml:space="preserve"> </w:t>
      </w:r>
      <w:r>
        <w:t xml:space="preserve">1. Transferir 5–10 mL de ejaculado para tubo cônico de 15 mL</w:t>
      </w:r>
      <w:r>
        <w:t xml:space="preserve"> </w:t>
      </w:r>
      <w:r>
        <w:t xml:space="preserve">2. Centrifugar a 800 × g por 10 min</w:t>
      </w:r>
      <w:r>
        <w:t xml:space="preserve"> </w:t>
      </w:r>
      <w:r>
        <w:t xml:space="preserve">3. Ressuspender pellet em 1–2 mL de PBS estéril (pH 7,4)</w:t>
      </w:r>
      <w:r>
        <w:t xml:space="preserve"> </w:t>
      </w:r>
      <w:r>
        <w:t xml:space="preserve">4. Centrifugar a 600 × g por 5 min — lavagem (2×)</w:t>
      </w:r>
      <w:r>
        <w:t xml:space="preserve"> </w:t>
      </w:r>
      <w:r>
        <w:t xml:space="preserve">5. Ressuspender pellet final em 200–500 µL de PBS</w:t>
      </w:r>
      <w:r>
        <w:t xml:space="preserve"> </w:t>
      </w:r>
      <w:r>
        <w:t xml:space="preserve">6. Dividir em 2–3 alíquotas (≥ 10 × 10⁶ sptz/alíquota)</w:t>
      </w:r>
      <w:r>
        <w:t xml:space="preserve"> </w:t>
      </w:r>
      <w:r>
        <w:t xml:space="preserve">7. Snap freezing em N₂ líquido → −80°C</w:t>
      </w:r>
      <w:r>
        <w:t xml:space="preserve"> </w:t>
      </w:r>
      <w:r>
        <w:t xml:space="preserve">8. Sem diluidor ou crioprotetor</w:t>
      </w:r>
    </w:p>
    <w:p>
      <w:pPr>
        <w:pStyle w:val="BodyText"/>
      </w:pPr>
      <w:r>
        <w:rPr>
          <w:b/>
          <w:bCs/>
        </w:rPr>
        <w:t xml:space="preserve">Metadados obrigatórios por alíquota:</w:t>
      </w:r>
      <w:r>
        <w:t xml:space="preserve"> </w:t>
      </w:r>
      <w:r>
        <w:t xml:space="preserve">ID do animal, grupo, raça, idade exata, data da coleta, número da coleta, concentração, volume, posição no freezer.</w:t>
      </w:r>
    </w:p>
    <w:p>
      <w:pPr>
        <w:pStyle w:val="BodyText"/>
      </w:pPr>
      <w:r>
        <w:rPr>
          <w:b/>
          <w:bCs/>
        </w:rPr>
        <w:t xml:space="preserve">Aplicações futuras:</w:t>
      </w:r>
      <w:r>
        <w:t xml:space="preserve"> </w:t>
      </w:r>
      <w:r>
        <w:t xml:space="preserve">metilação global do DNA (5-mC), RRBS, WGBS, SNP genotyping, transcriptômica espermática (RNA-seq).</w:t>
      </w:r>
    </w:p>
    <w:bookmarkEnd w:id="40"/>
    <w:bookmarkStart w:id="43" w:name="análise-estatística"/>
    <w:p>
      <w:pPr>
        <w:pStyle w:val="Heading3"/>
      </w:pPr>
      <w:r>
        <w:t xml:space="preserve">5.12 Análise estatística</w:t>
      </w:r>
    </w:p>
    <w:bookmarkStart w:id="41" w:name="cálculo-amostral"/>
    <w:p>
      <w:pPr>
        <w:pStyle w:val="Heading4"/>
      </w:pPr>
      <w:r>
        <w:t xml:space="preserve">5.12.1 Cálculo amostral</w:t>
      </w:r>
    </w:p>
    <w:p>
      <w:pPr>
        <w:pStyle w:val="FirstParagraph"/>
      </w:pPr>
      <w:r>
        <w:t xml:space="preserve">O cálculo amostral foi fundamentado nos dados de El-Sisy et al. (2019), que avaliaram garanhões Árabes em três faixas etárias. Utilizando os valores de TBARS seminal (variável primária — correlação sangue × sêmen é a hipótese central):</w:t>
      </w:r>
    </w:p>
    <w:p>
      <w:pPr>
        <w:pStyle w:val="Compact"/>
        <w:numPr>
          <w:ilvl w:val="0"/>
          <w:numId w:val="1005"/>
        </w:numPr>
      </w:pPr>
      <w:r>
        <w:rPr>
          <w:b/>
          <w:bCs/>
        </w:rPr>
        <w:t xml:space="preserve">Grupo adulto (5–6 anos):</w:t>
      </w:r>
      <w:r>
        <w:t xml:space="preserve"> </w:t>
      </w:r>
      <w:r>
        <w:t xml:space="preserve">MDA = 2,14 ± 0,31 nmol/mL</w:t>
      </w:r>
    </w:p>
    <w:p>
      <w:pPr>
        <w:pStyle w:val="Compact"/>
        <w:numPr>
          <w:ilvl w:val="0"/>
          <w:numId w:val="1005"/>
        </w:numPr>
      </w:pPr>
      <w:r>
        <w:rPr>
          <w:b/>
          <w:bCs/>
        </w:rPr>
        <w:t xml:space="preserve">Grupo senil (15–20 anos):</w:t>
      </w:r>
      <w:r>
        <w:t xml:space="preserve"> </w:t>
      </w:r>
      <w:r>
        <w:t xml:space="preserve">MDA = 3,88 ± 0,59 nmol/mL</w:t>
      </w:r>
    </w:p>
    <w:p>
      <w:pPr>
        <w:pStyle w:val="Compact"/>
        <w:numPr>
          <w:ilvl w:val="0"/>
          <w:numId w:val="1005"/>
        </w:numPr>
      </w:pPr>
      <w:r>
        <w:rPr>
          <w:b/>
          <w:bCs/>
        </w:rPr>
        <w:t xml:space="preserve">Diferença entre médias (δ):</w:t>
      </w:r>
      <w:r>
        <w:t xml:space="preserve"> </w:t>
      </w:r>
      <w:r>
        <w:t xml:space="preserve">1,74 nmol/mL</w:t>
      </w:r>
    </w:p>
    <w:p>
      <w:pPr>
        <w:pStyle w:val="Compact"/>
        <w:numPr>
          <w:ilvl w:val="0"/>
          <w:numId w:val="1005"/>
        </w:numPr>
      </w:pPr>
      <w:r>
        <w:rPr>
          <w:b/>
          <w:bCs/>
        </w:rPr>
        <w:t xml:space="preserve">Desvio padrão combinado (σ):</w:t>
      </w:r>
      <w:r>
        <w:t xml:space="preserve"> </w:t>
      </w:r>
      <w:r>
        <w:t xml:space="preserve">~0,47 nmol/mL</w:t>
      </w:r>
    </w:p>
    <w:p>
      <w:pPr>
        <w:pStyle w:val="Compact"/>
        <w:numPr>
          <w:ilvl w:val="0"/>
          <w:numId w:val="1005"/>
        </w:numPr>
      </w:pPr>
      <w:r>
        <w:rPr>
          <w:b/>
          <w:bCs/>
        </w:rPr>
        <w:t xml:space="preserve">Tamanho de efeito (d = δ/σ):</w:t>
      </w:r>
      <w:r>
        <w:t xml:space="preserve"> </w:t>
      </w:r>
      <w:r>
        <w:t xml:space="preserve">~3,7 (efeito muito grande)</w:t>
      </w:r>
    </w:p>
    <w:p>
      <w:pPr>
        <w:pStyle w:val="FirstParagraph"/>
      </w:pPr>
      <w:r>
        <w:t xml:space="preserve">Com d = 3,7, poder de 80% (β = 0,20) e α = 0,05 bilateral (teste t bicaudal), seriam necessários</w:t>
      </w:r>
      <w:r>
        <w:t xml:space="preserve"> </w:t>
      </w:r>
      <w:r>
        <w:rPr>
          <w:b/>
          <w:bCs/>
        </w:rPr>
        <w:t xml:space="preserve">n = 3 animais por grupo</w:t>
      </w:r>
      <w:r>
        <w:t xml:space="preserve">. Entretanto, considerando:</w:t>
      </w:r>
      <w:r>
        <w:t xml:space="preserve"> </w:t>
      </w:r>
      <w:r>
        <w:t xml:space="preserve">- Variabilidade interindividual esperada em populações heterogêneas (vs. Árabes puros de El-Sisy)</w:t>
      </w:r>
      <w:r>
        <w:t xml:space="preserve"> </w:t>
      </w:r>
      <w:r>
        <w:t xml:space="preserve">- Necessidade de poder estatístico para análises secundárias (correlações, interações fatoriais 2×2)</w:t>
      </w:r>
      <w:r>
        <w:t xml:space="preserve"> </w:t>
      </w:r>
      <w:r>
        <w:t xml:space="preserve">- Possíveis perdas e exclusões durante o período experimental</w:t>
      </w:r>
      <w:r>
        <w:t xml:space="preserve"> </w:t>
      </w:r>
      <w:r>
        <w:t xml:space="preserve">- Recomendação de pareceristas para estudos com múltiplas variáveis</w:t>
      </w:r>
    </w:p>
    <w:p>
      <w:pPr>
        <w:pStyle w:val="BodyText"/>
      </w:pPr>
      <w:r>
        <w:t xml:space="preserve">Adotou-se</w:t>
      </w:r>
      <w:r>
        <w:t xml:space="preserve"> </w:t>
      </w:r>
      <w:r>
        <w:rPr>
          <w:b/>
          <w:bCs/>
        </w:rPr>
        <w:t xml:space="preserve">n = 12 por grupo</w:t>
      </w:r>
      <w:r>
        <w:t xml:space="preserve"> </w:t>
      </w:r>
      <w:r>
        <w:t xml:space="preserve">(24 animais total), garantindo poder ≥ 90% para a variável primária e poder adequado para as análises fatoriais (idade × GC/BC).</w:t>
      </w:r>
    </w:p>
    <w:bookmarkEnd w:id="41"/>
    <w:bookmarkStart w:id="42" w:name="análises-estatísticas"/>
    <w:p>
      <w:pPr>
        <w:pStyle w:val="Heading4"/>
      </w:pPr>
      <w:r>
        <w:t xml:space="preserve">5.12.2 Análises estatísticas</w:t>
      </w:r>
    </w:p>
    <w:p>
      <w:pPr>
        <w:pStyle w:val="Compact"/>
        <w:numPr>
          <w:ilvl w:val="0"/>
          <w:numId w:val="1006"/>
        </w:numPr>
      </w:pPr>
      <w:r>
        <w:t xml:space="preserve">Teste de normalidade (Shapiro-Wilk)</w:t>
      </w:r>
    </w:p>
    <w:p>
      <w:pPr>
        <w:pStyle w:val="Compact"/>
        <w:numPr>
          <w:ilvl w:val="0"/>
          <w:numId w:val="1006"/>
        </w:numPr>
      </w:pPr>
      <w:r>
        <w:t xml:space="preserve">Comparação entre grupos (GA vs GS): teste t de Student ou Mann-Whitney para dados paramétricos e não-paramétricos, respectivamente</w:t>
      </w:r>
    </w:p>
    <w:p>
      <w:pPr>
        <w:pStyle w:val="Compact"/>
        <w:numPr>
          <w:ilvl w:val="0"/>
          <w:numId w:val="1006"/>
        </w:numPr>
      </w:pPr>
      <w:r>
        <w:t xml:space="preserve">Análise fatorial 2×2 (idade × refrigerabilidade): ANOVA bifatorial para interação GA-GC, GA-BC, GS-GC, GS-BC</w:t>
      </w:r>
    </w:p>
    <w:p>
      <w:pPr>
        <w:pStyle w:val="Compact"/>
        <w:numPr>
          <w:ilvl w:val="0"/>
          <w:numId w:val="1006"/>
        </w:numPr>
      </w:pPr>
      <w:r>
        <w:t xml:space="preserve">Comparação entre condições de preservação (fresco × refrigerado × congelado): ANOVA de medidas repetidas ou Friedman</w:t>
      </w:r>
    </w:p>
    <w:p>
      <w:pPr>
        <w:pStyle w:val="Compact"/>
        <w:numPr>
          <w:ilvl w:val="0"/>
          <w:numId w:val="1006"/>
        </w:numPr>
      </w:pPr>
      <w:r>
        <w:t xml:space="preserve">Comparação entre extensores refrigerados (BotuSemen® vs BotuSpecial®): ANOVA de medidas repetidas (T0, T24h, T48h)</w:t>
      </w:r>
    </w:p>
    <w:p>
      <w:pPr>
        <w:pStyle w:val="Compact"/>
        <w:numPr>
          <w:ilvl w:val="0"/>
          <w:numId w:val="1006"/>
        </w:numPr>
      </w:pPr>
      <w:r>
        <w:t xml:space="preserve">Correlações: coeficiente de Pearson ou Spearman</w:t>
      </w:r>
    </w:p>
    <w:p>
      <w:pPr>
        <w:pStyle w:val="Compact"/>
        <w:numPr>
          <w:ilvl w:val="0"/>
          <w:numId w:val="1006"/>
        </w:numPr>
      </w:pPr>
      <w:r>
        <w:t xml:space="preserve">Análise multivariada: Análise de Componentes Principais (PCA) para integração dos dados</w:t>
      </w:r>
    </w:p>
    <w:p>
      <w:pPr>
        <w:pStyle w:val="Compact"/>
        <w:numPr>
          <w:ilvl w:val="0"/>
          <w:numId w:val="1006"/>
        </w:numPr>
      </w:pPr>
      <w:r>
        <w:t xml:space="preserve">Modelos lineares mistos com idade como variável contínua (análise exploratória complementar)</w:t>
      </w:r>
    </w:p>
    <w:p>
      <w:pPr>
        <w:pStyle w:val="Compact"/>
        <w:numPr>
          <w:ilvl w:val="0"/>
          <w:numId w:val="1006"/>
        </w:numPr>
      </w:pPr>
      <w:r>
        <w:t xml:space="preserve">Nível de significância: P &lt; 0,05</w:t>
      </w:r>
    </w:p>
    <w:p>
      <w:pPr>
        <w:pStyle w:val="Compact"/>
        <w:numPr>
          <w:ilvl w:val="0"/>
          <w:numId w:val="1006"/>
        </w:numPr>
      </w:pPr>
      <w:r>
        <w:t xml:space="preserve">Software: R ou SAS</w:t>
      </w:r>
    </w:p>
    <w:p>
      <w:r>
        <w:pict>
          <v:rect style="width:0;height:1.5pt" o:hralign="center" o:hrstd="t" o:hr="t"/>
        </w:pict>
      </w:r>
    </w:p>
    <w:bookmarkEnd w:id="42"/>
    <w:bookmarkEnd w:id="43"/>
    <w:bookmarkEnd w:id="44"/>
    <w:bookmarkStart w:id="45" w:name="cronograma-48-meses"/>
    <w:p>
      <w:pPr>
        <w:pStyle w:val="Heading2"/>
      </w:pPr>
      <w:r>
        <w:t xml:space="preserve">6. CRONOGRAMA (48 meses)</w:t>
      </w:r>
    </w:p>
    <w:tbl>
      <w:tblPr>
        <w:tblStyle w:val="Table"/>
        <w:tblW w:type="pct" w:w="5000"/>
        <w:tblLayout w:type="fixed"/>
        <w:tblLook w:firstRow="1" w:lastRow="0" w:firstColumn="0" w:lastColumn="0" w:noHBand="0" w:noVBand="0" w:val="0020"/>
      </w:tblPr>
      <w:tblGrid>
        <w:gridCol w:w="1209"/>
        <w:gridCol w:w="659"/>
        <w:gridCol w:w="769"/>
        <w:gridCol w:w="879"/>
        <w:gridCol w:w="879"/>
        <w:gridCol w:w="879"/>
        <w:gridCol w:w="879"/>
        <w:gridCol w:w="879"/>
        <w:gridCol w:w="879"/>
      </w:tblGrid>
      <w:tr>
        <w:trPr>
          <w:tblHeader w:val="on"/>
        </w:trPr>
        <w:tc>
          <w:tcPr/>
          <w:p>
            <w:pPr>
              <w:pStyle w:val="Compact"/>
            </w:pPr>
            <w:r>
              <w:t xml:space="preserve">Atividade</w:t>
            </w:r>
          </w:p>
        </w:tc>
        <w:tc>
          <w:tcPr/>
          <w:p>
            <w:pPr>
              <w:pStyle w:val="Compact"/>
              <w:jc w:val="center"/>
            </w:pPr>
            <w:r>
              <w:t xml:space="preserve">M1-6</w:t>
            </w:r>
          </w:p>
        </w:tc>
        <w:tc>
          <w:tcPr/>
          <w:p>
            <w:pPr>
              <w:pStyle w:val="Compact"/>
              <w:jc w:val="center"/>
            </w:pPr>
            <w:r>
              <w:t xml:space="preserve">M7-12</w:t>
            </w:r>
          </w:p>
        </w:tc>
        <w:tc>
          <w:tcPr/>
          <w:p>
            <w:pPr>
              <w:pStyle w:val="Compact"/>
              <w:jc w:val="center"/>
            </w:pPr>
            <w:r>
              <w:t xml:space="preserve">M13-18</w:t>
            </w:r>
          </w:p>
        </w:tc>
        <w:tc>
          <w:tcPr/>
          <w:p>
            <w:pPr>
              <w:pStyle w:val="Compact"/>
              <w:jc w:val="center"/>
            </w:pPr>
            <w:r>
              <w:t xml:space="preserve">M19-24</w:t>
            </w:r>
          </w:p>
        </w:tc>
        <w:tc>
          <w:tcPr/>
          <w:p>
            <w:pPr>
              <w:pStyle w:val="Compact"/>
              <w:jc w:val="center"/>
            </w:pPr>
            <w:r>
              <w:t xml:space="preserve">M25-30</w:t>
            </w:r>
          </w:p>
        </w:tc>
        <w:tc>
          <w:tcPr/>
          <w:p>
            <w:pPr>
              <w:pStyle w:val="Compact"/>
              <w:jc w:val="center"/>
            </w:pPr>
            <w:r>
              <w:t xml:space="preserve">M31-36</w:t>
            </w:r>
          </w:p>
        </w:tc>
        <w:tc>
          <w:tcPr/>
          <w:p>
            <w:pPr>
              <w:pStyle w:val="Compact"/>
              <w:jc w:val="center"/>
            </w:pPr>
            <w:r>
              <w:t xml:space="preserve">M37-42</w:t>
            </w:r>
          </w:p>
        </w:tc>
        <w:tc>
          <w:tcPr/>
          <w:p>
            <w:pPr>
              <w:pStyle w:val="Compact"/>
              <w:jc w:val="center"/>
            </w:pPr>
            <w:r>
              <w:t xml:space="preserve">M43-48</w:t>
            </w:r>
          </w:p>
        </w:tc>
      </w:tr>
      <w:tr>
        <w:tc>
          <w:tcPr/>
          <w:p>
            <w:pPr>
              <w:pStyle w:val="Compact"/>
            </w:pPr>
            <w:r>
              <w:t xml:space="preserve">Revisão de literatura</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Padronização de protocolos</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Disciplinas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pPr>
            <w:r>
              <w:t xml:space="preserve">Seleção e triagem dos animais</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Fase experimental (coletas)</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Ensaios de EO (UNIPEX)</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pPr>
            <w:r>
              <w:t xml:space="preserve">Dosagens hormonais</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pPr>
            <w:r>
              <w:t xml:space="preserve">Proteômica (LC-MS/MS)</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pPr>
            <w:r>
              <w:t xml:space="preserve">Análise estatística integrada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Redação do Artigo 1</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pPr>
            <w:r>
              <w:t xml:space="preserve">Redação do Artigo 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r>
      <w:tr>
        <w:tc>
          <w:tcPr/>
          <w:p>
            <w:pPr>
              <w:pStyle w:val="Compact"/>
            </w:pPr>
            <w:r>
              <w:t xml:space="preserve">Redação do Artigo 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r>
      <w:tr>
        <w:tc>
          <w:tcPr/>
          <w:p>
            <w:pPr>
              <w:pStyle w:val="Compact"/>
            </w:pPr>
            <w:r>
              <w:t xml:space="preserve">Biobanco — organização</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Redação e defesa da tese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bl>
    <w:p>
      <w:r>
        <w:pict>
          <v:rect style="width:0;height:1.5pt" o:hralign="center" o:hrstd="t" o:hr="t"/>
        </w:pict>
      </w:r>
    </w:p>
    <w:bookmarkEnd w:id="45"/>
    <w:bookmarkStart w:id="48" w:name="X700cd3197a9008b3a998554eea5e6344b52af4a"/>
    <w:p>
      <w:pPr>
        <w:pStyle w:val="Heading2"/>
      </w:pPr>
      <w:r>
        <w:t xml:space="preserve">7. RESULTADOS ESPERADOS E ESTRATÉGIA DE PUBLICAÇÃO</w:t>
      </w:r>
    </w:p>
    <w:bookmarkStart w:id="46" w:name="resultados-esperados"/>
    <w:p>
      <w:pPr>
        <w:pStyle w:val="Heading3"/>
      </w:pPr>
      <w:r>
        <w:t xml:space="preserve">7.1 Resultados esperados</w:t>
      </w:r>
    </w:p>
    <w:p>
      <w:pPr>
        <w:pStyle w:val="FirstParagraph"/>
      </w:pPr>
      <w:r>
        <w:t xml:space="preserve">Espera-se obter o</w:t>
      </w:r>
      <w:r>
        <w:t xml:space="preserve"> </w:t>
      </w:r>
      <w:r>
        <w:rPr>
          <w:b/>
          <w:bCs/>
        </w:rPr>
        <w:t xml:space="preserve">primeiro mapeamento integrado do envelhecimento reprodutivo do garanhão</w:t>
      </w:r>
      <w:r>
        <w:t xml:space="preserve"> </w:t>
      </w:r>
      <w:r>
        <w:t xml:space="preserve">combinando dados clínicos, funcionais, bioquímicos, hormonais e proteômicos. Os resultados devem fornecer: (a) validação da correlação sangue × sêmen para marcadores oxidativos em garanhões — dado inexistente na literatura equina; (b) biomarcadores candidatos para monitoramento não-invasivo do declínio reprodutivo; (c) compreensão dos mecanismos de vulnerabilidade do sêmen senil à criopreservação; (d) base de dados proteômica inédita; (e) biobanco para estudos futuros de epigenômica.</w:t>
      </w:r>
    </w:p>
    <w:bookmarkEnd w:id="46"/>
    <w:bookmarkStart w:id="47" w:name="estratégia-de-publicação"/>
    <w:p>
      <w:pPr>
        <w:pStyle w:val="Heading3"/>
      </w:pPr>
      <w:r>
        <w:t xml:space="preserve">7.2 Estratégia de publicação</w:t>
      </w:r>
    </w:p>
    <w:tbl>
      <w:tblPr>
        <w:tblStyle w:val="Table"/>
        <w:tblW w:type="pct" w:w="5000"/>
        <w:tblLayout w:type="fixed"/>
        <w:tblLook w:firstRow="1" w:lastRow="0" w:firstColumn="0" w:lastColumn="0" w:noHBand="0" w:noVBand="0" w:val="0020"/>
      </w:tblPr>
      <w:tblGrid>
        <w:gridCol w:w="1440"/>
        <w:gridCol w:w="2880"/>
        <w:gridCol w:w="2340"/>
        <w:gridCol w:w="1260"/>
      </w:tblGrid>
      <w:tr>
        <w:trPr>
          <w:tblHeader w:val="on"/>
        </w:trPr>
        <w:tc>
          <w:tcPr/>
          <w:p>
            <w:pPr>
              <w:pStyle w:val="Compact"/>
            </w:pPr>
            <w:r>
              <w:t xml:space="preserve">Artigo</w:t>
            </w:r>
          </w:p>
        </w:tc>
        <w:tc>
          <w:tcPr/>
          <w:p>
            <w:pPr>
              <w:pStyle w:val="Compact"/>
            </w:pPr>
            <w:r>
              <w:t xml:space="preserve">Título sugerido</w:t>
            </w:r>
          </w:p>
        </w:tc>
        <w:tc>
          <w:tcPr/>
          <w:p>
            <w:pPr>
              <w:pStyle w:val="Compact"/>
            </w:pPr>
            <w:r>
              <w:t xml:space="preserve">Revista-alvo</w:t>
            </w:r>
          </w:p>
        </w:tc>
        <w:tc>
          <w:tcPr/>
          <w:p>
            <w:pPr>
              <w:pStyle w:val="Compact"/>
            </w:pPr>
            <w:r>
              <w:t xml:space="preserve">Prazo</w:t>
            </w:r>
          </w:p>
        </w:tc>
      </w:tr>
      <w:tr>
        <w:tc>
          <w:tcPr/>
          <w:p>
            <w:pPr>
              <w:pStyle w:val="Compact"/>
            </w:pPr>
            <w:r>
              <w:t xml:space="preserve">1</w:t>
            </w:r>
          </w:p>
        </w:tc>
        <w:tc>
          <w:tcPr/>
          <w:p>
            <w:pPr>
              <w:pStyle w:val="Compact"/>
            </w:pPr>
            <w:r>
              <w:t xml:space="preserve">Andrological assessment, testicular Doppler and scrotal thermography in adult versus aged stallions</w:t>
            </w:r>
          </w:p>
        </w:tc>
        <w:tc>
          <w:tcPr/>
          <w:p>
            <w:pPr>
              <w:pStyle w:val="Compact"/>
            </w:pPr>
            <w:r>
              <w:rPr>
                <w:i/>
                <w:iCs/>
              </w:rPr>
              <w:t xml:space="preserve">Theriogenology</w:t>
            </w:r>
            <w:r>
              <w:t xml:space="preserve"> </w:t>
            </w:r>
            <w:r>
              <w:t xml:space="preserve">(IF ~2.8)</w:t>
            </w:r>
          </w:p>
        </w:tc>
        <w:tc>
          <w:tcPr/>
          <w:p>
            <w:pPr>
              <w:pStyle w:val="Compact"/>
            </w:pPr>
            <w:r>
              <w:t xml:space="preserve">M25-30</w:t>
            </w:r>
          </w:p>
        </w:tc>
      </w:tr>
      <w:tr>
        <w:tc>
          <w:tcPr/>
          <w:p>
            <w:pPr>
              <w:pStyle w:val="Compact"/>
            </w:pPr>
            <w:r>
              <w:t xml:space="preserve">2</w:t>
            </w:r>
          </w:p>
        </w:tc>
        <w:tc>
          <w:tcPr/>
          <w:p>
            <w:pPr>
              <w:pStyle w:val="Compact"/>
            </w:pPr>
            <w:r>
              <w:t xml:space="preserve">Multi-parametric flow cytometry, membrane integrity and DNA fragmentation in fresh, cooled and frozen semen from adult and aged stallions: interaction between age and cooling resistance (GC/BC)</w:t>
            </w:r>
          </w:p>
        </w:tc>
        <w:tc>
          <w:tcPr/>
          <w:p>
            <w:pPr>
              <w:pStyle w:val="Compact"/>
            </w:pPr>
            <w:r>
              <w:rPr>
                <w:i/>
                <w:iCs/>
              </w:rPr>
              <w:t xml:space="preserve">Theriogenology</w:t>
            </w:r>
            <w:r>
              <w:t xml:space="preserve"> </w:t>
            </w:r>
            <w:r>
              <w:t xml:space="preserve">ou</w:t>
            </w:r>
            <w:r>
              <w:t xml:space="preserve"> </w:t>
            </w:r>
            <w:r>
              <w:rPr>
                <w:i/>
                <w:iCs/>
              </w:rPr>
              <w:t xml:space="preserve">JEVS</w:t>
            </w:r>
            <w:r>
              <w:t xml:space="preserve"> </w:t>
            </w:r>
            <w:r>
              <w:t xml:space="preserve">(IF ~1.6)</w:t>
            </w:r>
          </w:p>
        </w:tc>
        <w:tc>
          <w:tcPr/>
          <w:p>
            <w:pPr>
              <w:pStyle w:val="Compact"/>
            </w:pPr>
            <w:r>
              <w:t xml:space="preserve">M31-36</w:t>
            </w:r>
          </w:p>
        </w:tc>
      </w:tr>
      <w:tr>
        <w:tc>
          <w:tcPr/>
          <w:p>
            <w:pPr>
              <w:pStyle w:val="Compact"/>
            </w:pPr>
            <w:r>
              <w:t xml:space="preserve">3</w:t>
            </w:r>
          </w:p>
        </w:tc>
        <w:tc>
          <w:tcPr/>
          <w:p>
            <w:pPr>
              <w:pStyle w:val="Compact"/>
            </w:pPr>
            <w:r>
              <w:t xml:space="preserve">Systemic and seminal oxidative stress in adult versus aged stallions: correlations with sperm quality and hormonal profile</w:t>
            </w:r>
          </w:p>
        </w:tc>
        <w:tc>
          <w:tcPr/>
          <w:p>
            <w:pPr>
              <w:pStyle w:val="Compact"/>
            </w:pPr>
            <w:r>
              <w:rPr>
                <w:i/>
                <w:iCs/>
              </w:rPr>
              <w:t xml:space="preserve">Free Radical Biology and Medicine</w:t>
            </w:r>
            <w:r>
              <w:t xml:space="preserve"> </w:t>
            </w:r>
            <w:r>
              <w:t xml:space="preserve">(IF ~7.4) ou</w:t>
            </w:r>
            <w:r>
              <w:t xml:space="preserve"> </w:t>
            </w:r>
            <w:r>
              <w:rPr>
                <w:i/>
                <w:iCs/>
              </w:rPr>
              <w:t xml:space="preserve">Antioxidants</w:t>
            </w:r>
            <w:r>
              <w:t xml:space="preserve"> </w:t>
            </w:r>
            <w:r>
              <w:t xml:space="preserve">(IF ~7.0)</w:t>
            </w:r>
          </w:p>
        </w:tc>
        <w:tc>
          <w:tcPr/>
          <w:p>
            <w:pPr>
              <w:pStyle w:val="Compact"/>
            </w:pPr>
            <w:r>
              <w:t xml:space="preserve">M37-42</w:t>
            </w:r>
          </w:p>
        </w:tc>
      </w:tr>
      <w:tr>
        <w:tc>
          <w:tcPr/>
          <w:p>
            <w:pPr>
              <w:pStyle w:val="Compact"/>
            </w:pPr>
            <w:r>
              <w:t xml:space="preserve">4</w:t>
            </w:r>
          </w:p>
        </w:tc>
        <w:tc>
          <w:tcPr/>
          <w:p>
            <w:pPr>
              <w:pStyle w:val="Compact"/>
            </w:pPr>
            <w:r>
              <w:t xml:space="preserve">Seminal plasma proteomics reveals age-dependent redox dysfunction in stallions [Condicional]</w:t>
            </w:r>
          </w:p>
        </w:tc>
        <w:tc>
          <w:tcPr/>
          <w:p>
            <w:pPr>
              <w:pStyle w:val="Compact"/>
            </w:pPr>
            <w:r>
              <w:rPr>
                <w:i/>
                <w:iCs/>
              </w:rPr>
              <w:t xml:space="preserve">Journal of Proteomics</w:t>
            </w:r>
            <w:r>
              <w:t xml:space="preserve"> </w:t>
            </w:r>
            <w:r>
              <w:t xml:space="preserve">(IF ~3.5)</w:t>
            </w:r>
          </w:p>
        </w:tc>
        <w:tc>
          <w:tcPr/>
          <w:p>
            <w:pPr>
              <w:pStyle w:val="Compact"/>
            </w:pPr>
            <w:r>
              <w:t xml:space="preserve">M37-42</w:t>
            </w:r>
          </w:p>
        </w:tc>
      </w:tr>
      <w:tr>
        <w:tc>
          <w:tcPr/>
          <w:p>
            <w:pPr>
              <w:pStyle w:val="Compact"/>
            </w:pPr>
            <w:r>
              <w:t xml:space="preserve">5</w:t>
            </w:r>
          </w:p>
        </w:tc>
        <w:tc>
          <w:tcPr/>
          <w:p>
            <w:pPr>
              <w:pStyle w:val="Compact"/>
            </w:pPr>
            <w:r>
              <w:t xml:space="preserve">The stallion as a translational model for male reproductive aging (Review integrativa)</w:t>
            </w:r>
          </w:p>
        </w:tc>
        <w:tc>
          <w:tcPr/>
          <w:p>
            <w:pPr>
              <w:pStyle w:val="Compact"/>
            </w:pPr>
            <w:r>
              <w:rPr>
                <w:i/>
                <w:iCs/>
              </w:rPr>
              <w:t xml:space="preserve">Reproduction</w:t>
            </w:r>
            <w:r>
              <w:t xml:space="preserve"> </w:t>
            </w:r>
            <w:r>
              <w:t xml:space="preserve">(IF ~3.7) ou</w:t>
            </w:r>
            <w:r>
              <w:t xml:space="preserve"> </w:t>
            </w:r>
            <w:r>
              <w:rPr>
                <w:i/>
                <w:iCs/>
              </w:rPr>
              <w:t xml:space="preserve">Biology of Reproduction</w:t>
            </w:r>
            <w:r>
              <w:t xml:space="preserve"> </w:t>
            </w:r>
            <w:r>
              <w:t xml:space="preserve">(IF ~3.5)</w:t>
            </w:r>
          </w:p>
        </w:tc>
        <w:tc>
          <w:tcPr/>
          <w:p>
            <w:pPr>
              <w:pStyle w:val="Compact"/>
            </w:pPr>
            <w:r>
              <w:t xml:space="preserve">M43-48</w:t>
            </w:r>
          </w:p>
        </w:tc>
      </w:tr>
    </w:tbl>
    <w:p>
      <w:r>
        <w:pict>
          <v:rect style="width:0;height:1.5pt" o:hralign="center" o:hrstd="t" o:hr="t"/>
        </w:pict>
      </w:r>
    </w:p>
    <w:bookmarkEnd w:id="47"/>
    <w:bookmarkEnd w:id="48"/>
    <w:bookmarkStart w:id="49" w:name="referências"/>
    <w:p>
      <w:pPr>
        <w:pStyle w:val="Heading2"/>
      </w:pPr>
      <w:r>
        <w:t xml:space="preserve">8. REFERÊNCIAS</w:t>
      </w:r>
    </w:p>
    <w:p>
      <w:pPr>
        <w:pStyle w:val="FirstParagraph"/>
      </w:pPr>
      <w:r>
        <w:t xml:space="preserve">AL-KHERAIJE, K. A. et al. Effects of age and season on semen characteristics in Arabian stallions under subtropical conditions of Kuwait.</w:t>
      </w:r>
      <w:r>
        <w:t xml:space="preserve"> </w:t>
      </w:r>
      <w:r>
        <w:rPr>
          <w:b/>
          <w:bCs/>
        </w:rPr>
        <w:t xml:space="preserve">Slovenian Veterinary Research</w:t>
      </w:r>
      <w:r>
        <w:t xml:space="preserve">, v. 58, n. 4, p. 307–314, 2021.</w:t>
      </w:r>
    </w:p>
    <w:p>
      <w:pPr>
        <w:pStyle w:val="BodyText"/>
      </w:pPr>
      <w:r>
        <w:t xml:space="preserve">ASAHI, T.; ARAI, T.; TANAKA, H. Changes in plasma metabolite concentrations and enzyme activities in aging riding horses.</w:t>
      </w:r>
      <w:r>
        <w:t xml:space="preserve"> </w:t>
      </w:r>
      <w:r>
        <w:rPr>
          <w:b/>
          <w:bCs/>
        </w:rPr>
        <w:t xml:space="preserve">Frontiers in Veterinary Science</w:t>
      </w:r>
      <w:r>
        <w:t xml:space="preserve">, v. 11, p. 1345548, 2024.</w:t>
      </w:r>
    </w:p>
    <w:p>
      <w:pPr>
        <w:pStyle w:val="BodyText"/>
      </w:pPr>
      <w:r>
        <w:t xml:space="preserve">BENEDETTI, S. et al. Differences in blood and semen oxidative status in fertile and infertile men, and their relationship with sperm quality.</w:t>
      </w:r>
      <w:r>
        <w:t xml:space="preserve"> </w:t>
      </w:r>
      <w:r>
        <w:rPr>
          <w:b/>
          <w:bCs/>
        </w:rPr>
        <w:t xml:space="preserve">Reproductive BioMedicine Online</w:t>
      </w:r>
      <w:r>
        <w:t xml:space="preserve">, v. 25, n. 3, p. 300–306, 2012.</w:t>
      </w:r>
    </w:p>
    <w:p>
      <w:pPr>
        <w:pStyle w:val="BodyText"/>
      </w:pPr>
      <w:r>
        <w:t xml:space="preserve">DARR, C. R. et al. Stallion sperm mitochondrial function is affected by age and predicts post-thaw motility.</w:t>
      </w:r>
      <w:r>
        <w:t xml:space="preserve"> </w:t>
      </w:r>
      <w:r>
        <w:rPr>
          <w:b/>
          <w:bCs/>
        </w:rPr>
        <w:t xml:space="preserve">Journal of Equine Veterinary Science</w:t>
      </w:r>
      <w:r>
        <w:t xml:space="preserve">, v. 43, p. S45, 2016.</w:t>
      </w:r>
    </w:p>
    <w:p>
      <w:pPr>
        <w:pStyle w:val="BodyText"/>
      </w:pPr>
      <w:r>
        <w:t xml:space="preserve">DARR, C. R. et al. Mitochondrial oxygen consumption and DNA copy number are associated with sperm motility in stallions.</w:t>
      </w:r>
      <w:r>
        <w:t xml:space="preserve"> </w:t>
      </w:r>
      <w:r>
        <w:rPr>
          <w:b/>
          <w:bCs/>
        </w:rPr>
        <w:t xml:space="preserve">Theriogenology</w:t>
      </w:r>
      <w:r>
        <w:t xml:space="preserve">, v. 94, p. 94–99, 2017.</w:t>
      </w:r>
    </w:p>
    <w:p>
      <w:pPr>
        <w:pStyle w:val="BodyText"/>
      </w:pPr>
      <w:r>
        <w:t xml:space="preserve">EL-SISY, G. A. et al. Evaluation of semen characteristics, oxidative stress, and biochemical indices in Arabian horses of different ages during the hot summer season.</w:t>
      </w:r>
      <w:r>
        <w:t xml:space="preserve"> </w:t>
      </w:r>
      <w:r>
        <w:rPr>
          <w:b/>
          <w:bCs/>
        </w:rPr>
        <w:t xml:space="preserve">Journal of Veterinary Medical Science</w:t>
      </w:r>
      <w:r>
        <w:t xml:space="preserve">, v. 81, n. 2, p. 215–221, 2019.</w:t>
      </w:r>
    </w:p>
    <w:p>
      <w:pPr>
        <w:pStyle w:val="BodyText"/>
      </w:pPr>
      <w:r>
        <w:t xml:space="preserve">HARRIS, I. T. et al. Temporal trends in equine sperm progressive motility: a systematic review and meta-regression.</w:t>
      </w:r>
      <w:r>
        <w:t xml:space="preserve"> </w:t>
      </w:r>
      <w:r>
        <w:rPr>
          <w:b/>
          <w:bCs/>
        </w:rPr>
        <w:t xml:space="preserve">Reproduction</w:t>
      </w:r>
      <w:r>
        <w:t xml:space="preserve">, v. 165, n. 6, p. M1–M10, 2023.</w:t>
      </w:r>
    </w:p>
    <w:p>
      <w:pPr>
        <w:pStyle w:val="BodyText"/>
      </w:pPr>
      <w:r>
        <w:t xml:space="preserve">KHAN, I. U. et al. Strategic approaches to improve equine breeding and stud farm outcomes.</w:t>
      </w:r>
      <w:r>
        <w:t xml:space="preserve"> </w:t>
      </w:r>
      <w:r>
        <w:rPr>
          <w:b/>
          <w:bCs/>
        </w:rPr>
        <w:t xml:space="preserve">Veterinary World</w:t>
      </w:r>
      <w:r>
        <w:t xml:space="preserve">, v. 18, n. 2, p. 311–328, 2025.</w:t>
      </w:r>
    </w:p>
    <w:p>
      <w:pPr>
        <w:pStyle w:val="BodyText"/>
      </w:pPr>
      <w:r>
        <w:t xml:space="preserve">MORTE, M. I. et al. The quantification of lipid and protein oxidation in stallion spermatozoa and seminal plasma: seasonal distinctions and correlations with DNA strand breaks, classical seminal parameters and stallion fertility.</w:t>
      </w:r>
      <w:r>
        <w:t xml:space="preserve"> </w:t>
      </w:r>
      <w:r>
        <w:rPr>
          <w:b/>
          <w:bCs/>
        </w:rPr>
        <w:t xml:space="preserve">Animal Reproduction Science</w:t>
      </w:r>
      <w:r>
        <w:t xml:space="preserve">, v. 106, n. 1-2, p. 36–47, 2008.</w:t>
      </w:r>
    </w:p>
    <w:p>
      <w:pPr>
        <w:pStyle w:val="BodyText"/>
      </w:pPr>
      <w:r>
        <w:t xml:space="preserve">NAGATA, S. et al. Inhibin secretion in the stallion.</w:t>
      </w:r>
      <w:r>
        <w:t xml:space="preserve"> </w:t>
      </w:r>
      <w:r>
        <w:rPr>
          <w:b/>
          <w:bCs/>
        </w:rPr>
        <w:t xml:space="preserve">Equine Veterinary Journal</w:t>
      </w:r>
      <w:r>
        <w:t xml:space="preserve">, v. 30, n. 2, p. 98–103, 1998.</w:t>
      </w:r>
    </w:p>
    <w:p>
      <w:pPr>
        <w:pStyle w:val="BodyText"/>
      </w:pPr>
      <w:r>
        <w:t xml:space="preserve">OHKAWA, H.; OHISHI, N.; YAGI, K. Assay for lipid peroxides in animal tissues by thiobarbituric acid reaction.</w:t>
      </w:r>
      <w:r>
        <w:t xml:space="preserve"> </w:t>
      </w:r>
      <w:r>
        <w:rPr>
          <w:b/>
          <w:bCs/>
        </w:rPr>
        <w:t xml:space="preserve">Analytical Biochemistry</w:t>
      </w:r>
      <w:r>
        <w:t xml:space="preserve">, v. 95, n. 2, p. 351–358, 1979.</w:t>
      </w:r>
    </w:p>
    <w:p>
      <w:pPr>
        <w:pStyle w:val="BodyText"/>
      </w:pPr>
      <w:r>
        <w:t xml:space="preserve">PEÑA, F. J. et al. Redox regulation and oxidative stress: the particular case of the stallion spermatozoa.</w:t>
      </w:r>
      <w:r>
        <w:t xml:space="preserve"> </w:t>
      </w:r>
      <w:r>
        <w:rPr>
          <w:b/>
          <w:bCs/>
        </w:rPr>
        <w:t xml:space="preserve">Antioxidants</w:t>
      </w:r>
      <w:r>
        <w:t xml:space="preserve">, v. 8, n. 11, p. 567, 2019.</w:t>
      </w:r>
    </w:p>
    <w:p>
      <w:pPr>
        <w:pStyle w:val="BodyText"/>
      </w:pPr>
      <w:r>
        <w:t xml:space="preserve">SELVARATNAM, J.; ROBAIRE, B. Effects of aging and oxidative stress on spermatozoa of superoxide-dismutase 1- and catalase-null mice.</w:t>
      </w:r>
      <w:r>
        <w:t xml:space="preserve"> </w:t>
      </w:r>
      <w:r>
        <w:rPr>
          <w:b/>
          <w:bCs/>
        </w:rPr>
        <w:t xml:space="preserve">Biology of Reproduction</w:t>
      </w:r>
      <w:r>
        <w:t xml:space="preserve">, v. 95, n. 3, p. 60, 2016.</w:t>
      </w:r>
    </w:p>
    <w:p>
      <w:pPr>
        <w:pStyle w:val="BodyText"/>
      </w:pPr>
      <w:r>
        <w:t xml:space="preserve">STEWART, B. L.; ROSER, J. F. Effects of age, season, and fertility status on plasma and intratesticular immunoreactive (IR) inhibin concentrations in stallions.</w:t>
      </w:r>
      <w:r>
        <w:t xml:space="preserve"> </w:t>
      </w:r>
      <w:r>
        <w:rPr>
          <w:b/>
          <w:bCs/>
        </w:rPr>
        <w:t xml:space="preserve">Domestic Animal Endocrinology</w:t>
      </w:r>
      <w:r>
        <w:t xml:space="preserve">, v. 15, n. 2, p. 129–139, 1998.</w:t>
      </w:r>
    </w:p>
    <w:p>
      <w:pPr>
        <w:pStyle w:val="BodyText"/>
      </w:pPr>
      <w:r>
        <w:t xml:space="preserve">TURNER, R. M. Pathogenesis, diagnosis, and management of testicular degeneration in stallions.</w:t>
      </w:r>
      <w:r>
        <w:t xml:space="preserve"> </w:t>
      </w:r>
      <w:r>
        <w:rPr>
          <w:b/>
          <w:bCs/>
        </w:rPr>
        <w:t xml:space="preserve">Clinical Techniques in Equine Practice</w:t>
      </w:r>
      <w:r>
        <w:t xml:space="preserve">, v. 6, n. 4, p. 278–284, 2007.</w:t>
      </w:r>
    </w:p>
    <w:p>
      <w:pPr>
        <w:pStyle w:val="BodyText"/>
      </w:pPr>
      <w:r>
        <w:t xml:space="preserve">TURNER, R. M. et al. Xenografting restores spermatogenesis to cryptorchid testicular tissue but does not rescue the phenotype of idiopathic testicular degeneration in the horse.</w:t>
      </w:r>
      <w:r>
        <w:t xml:space="preserve"> </w:t>
      </w:r>
      <w:r>
        <w:rPr>
          <w:b/>
          <w:bCs/>
        </w:rPr>
        <w:t xml:space="preserve">Reproduction, Fertility and Development</w:t>
      </w:r>
      <w:r>
        <w:t xml:space="preserve">, v. 22, p. 673–683, 2010.</w:t>
      </w:r>
    </w:p>
    <w:p>
      <w:pPr>
        <w:pStyle w:val="BodyText"/>
      </w:pPr>
      <w:r>
        <w:t xml:space="preserve">TURNER, R. M.; ZENG, W. The emerging pathophysiology of age-related testicular degeneration with a focus on the stallion and an update on potential therapies.</w:t>
      </w:r>
      <w:r>
        <w:t xml:space="preserve"> </w:t>
      </w:r>
      <w:r>
        <w:rPr>
          <w:b/>
          <w:bCs/>
        </w:rPr>
        <w:t xml:space="preserve">Reproduction in Domestic Animals</w:t>
      </w:r>
      <w:r>
        <w:t xml:space="preserve">, v. 47, Suppl. 4, p. 178–186, 2012.</w:t>
      </w:r>
    </w:p>
    <w:p>
      <w:pPr>
        <w:pStyle w:val="BodyText"/>
      </w:pPr>
      <w:r>
        <w:t xml:space="preserve">TURNER, R. M. Declining testicular function in the aging stallion: management options and future therapies.</w:t>
      </w:r>
      <w:r>
        <w:t xml:space="preserve"> </w:t>
      </w:r>
      <w:r>
        <w:rPr>
          <w:b/>
          <w:bCs/>
        </w:rPr>
        <w:t xml:space="preserve">Animal Reproduction Science</w:t>
      </w:r>
      <w:r>
        <w:t xml:space="preserve">, v. 207, p. 171–179, 2019.</w:t>
      </w:r>
    </w:p>
    <w:p>
      <w:pPr>
        <w:pStyle w:val="BodyText"/>
      </w:pPr>
      <w:r>
        <w:t xml:space="preserve">WAQAS, M. S.; ARROYO, L. G.; TIBARY, A. Diagnostic approach to equine testicular disorders.</w:t>
      </w:r>
      <w:r>
        <w:t xml:space="preserve"> </w:t>
      </w:r>
      <w:r>
        <w:rPr>
          <w:b/>
          <w:bCs/>
        </w:rPr>
        <w:t xml:space="preserve">Veterinary Sciences</w:t>
      </w:r>
      <w:r>
        <w:t xml:space="preserve">, v. 11, n. 6, p. 243, 2024.</w:t>
      </w:r>
    </w:p>
    <w:p>
      <w:pPr>
        <w:pStyle w:val="BodyText"/>
      </w:pPr>
      <w:r>
        <w:t xml:space="preserve">WATSON, E. D. et al. Testicular degeneration in 3 stallions.</w:t>
      </w:r>
      <w:r>
        <w:t xml:space="preserve"> </w:t>
      </w:r>
      <w:r>
        <w:rPr>
          <w:b/>
          <w:bCs/>
        </w:rPr>
        <w:t xml:space="preserve">Equine Veterinary Journal</w:t>
      </w:r>
      <w:r>
        <w:t xml:space="preserve">, v. 26, n. 6, p. 507–510, 1994.</w:t>
      </w:r>
    </w:p>
    <w:p>
      <w:pPr>
        <w:pStyle w:val="BodyText"/>
      </w:pPr>
      <w:r>
        <w:t xml:space="preserve">WOODWARD, E. M. et al. Characterisation of the testicular transcriptome in stallions with age-related testicular degeneration.</w:t>
      </w:r>
      <w:r>
        <w:t xml:space="preserve"> </w:t>
      </w:r>
      <w:r>
        <w:rPr>
          <w:b/>
          <w:bCs/>
        </w:rPr>
        <w:t xml:space="preserve">Equine Veterinary Journal</w:t>
      </w:r>
      <w:r>
        <w:t xml:space="preserve">, v. 55, n. 2, p. 239–252, 2023.</w:t>
      </w:r>
    </w:p>
    <w:p>
      <w:r>
        <w:pict>
          <v:rect style="width:0;height:1.5pt" o:hralign="center" o:hrstd="t" o:hr="t"/>
        </w:pict>
      </w:r>
    </w:p>
    <w:bookmarkEnd w:id="49"/>
    <w:bookmarkStart w:id="53" w:name="X9edea65e970eef3e76b05173ddfb7b0867e23ab"/>
    <w:p>
      <w:pPr>
        <w:pStyle w:val="Heading2"/>
      </w:pPr>
      <w:r>
        <w:t xml:space="preserve">APÊNDICE: CONTRIBUIÇÕES DOS ESPECIALISTAS DO SQUAD</w:t>
      </w:r>
    </w:p>
    <w:bookmarkStart w:id="50" w:name="Xa5e9b361cd4537096ae12fb4112beab15bc4eda"/>
    <w:p>
      <w:pPr>
        <w:pStyle w:val="Heading3"/>
      </w:pPr>
      <w:r>
        <w:t xml:space="preserve">Fernando J. Peña (Univ. Extremadura, Espanha) — Estresse Oxidativo</w:t>
      </w:r>
    </w:p>
    <w:p>
      <w:pPr>
        <w:pStyle w:val="FirstParagraph"/>
      </w:pPr>
      <w:r>
        <w:rPr>
          <w:b/>
          <w:bCs/>
        </w:rPr>
        <w:t xml:space="preserve">Referências adicionais sugeridas para inclusão:</w:t>
      </w:r>
      <w:r>
        <w:t xml:space="preserve"> </w:t>
      </w:r>
      <w:r>
        <w:t xml:space="preserve">- Peña FJ et al. (2019) — Redox regulation and oxidative stress: the particular case of the stallion spermatozoa.</w:t>
      </w:r>
      <w:r>
        <w:t xml:space="preserve"> </w:t>
      </w:r>
      <w:r>
        <w:rPr>
          <w:i/>
          <w:iCs/>
        </w:rPr>
        <w:t xml:space="preserve">Antioxidants</w:t>
      </w:r>
      <w:r>
        <w:t xml:space="preserve">.</w:t>
      </w:r>
      <w:r>
        <w:t xml:space="preserve"> </w:t>
      </w:r>
      <w:r>
        <w:t xml:space="preserve">- Ortega-Ferrusola C et al. (2019) — Depletion of thiols leads to redox deregulation, production of 4-hydroxinonenal and sperm senescence.</w:t>
      </w:r>
      <w:r>
        <w:t xml:space="preserve"> </w:t>
      </w:r>
      <w:r>
        <w:rPr>
          <w:i/>
          <w:iCs/>
        </w:rPr>
        <w:t xml:space="preserve">Biology of Reproduction</w:t>
      </w:r>
      <w:r>
        <w:t xml:space="preserve">.</w:t>
      </w:r>
      <w:r>
        <w:t xml:space="preserve"> </w:t>
      </w:r>
      <w:r>
        <w:t xml:space="preserve">- Gaitskell-Phillips G et al. (2021) — Seminal plasma AKR1B1 and SOD1 as predictors of cryodamage in stallion spermatozoa.</w:t>
      </w:r>
      <w:r>
        <w:t xml:space="preserve"> </w:t>
      </w:r>
      <w:r>
        <w:rPr>
          <w:i/>
          <w:iCs/>
        </w:rPr>
        <w:t xml:space="preserve">Antioxidants</w:t>
      </w:r>
      <w:r>
        <w:t xml:space="preserve">.</w:t>
      </w:r>
      <w:r>
        <w:t xml:space="preserve"> </w:t>
      </w:r>
      <w:r>
        <w:t xml:space="preserve">- Peña FJ, Gibb Z (2022) — Oxidative stress and reproductive function: The stallion perspective.</w:t>
      </w:r>
      <w:r>
        <w:t xml:space="preserve"> </w:t>
      </w:r>
      <w:r>
        <w:rPr>
          <w:i/>
          <w:iCs/>
        </w:rPr>
        <w:t xml:space="preserve">Antioxidants and Redox Signaling</w:t>
      </w:r>
      <w:r>
        <w:t xml:space="preserve">.</w:t>
      </w:r>
    </w:p>
    <w:p>
      <w:pPr>
        <w:pStyle w:val="BodyText"/>
      </w:pPr>
      <w:r>
        <w:rPr>
          <w:b/>
          <w:bCs/>
        </w:rPr>
        <w:t xml:space="preserve">Recomendações metodológicas chave:</w:t>
      </w:r>
      <w:r>
        <w:t xml:space="preserve"> </w:t>
      </w:r>
      <w:r>
        <w:t xml:space="preserve">- Substituir o framework</w:t>
      </w:r>
      <w:r>
        <w:t xml:space="preserve"> </w:t>
      </w:r>
      <w:r>
        <w:t xml:space="preserve">“estresse oxidativo”</w:t>
      </w:r>
      <w:r>
        <w:t xml:space="preserve"> </w:t>
      </w:r>
      <w:r>
        <w:t xml:space="preserve">pelo conceito mais preciso de</w:t>
      </w:r>
      <w:r>
        <w:t xml:space="preserve"> </w:t>
      </w:r>
      <w:r>
        <w:rPr>
          <w:b/>
          <w:bCs/>
        </w:rPr>
        <w:t xml:space="preserve">desregulação redox</w:t>
      </w:r>
      <w:r>
        <w:t xml:space="preserve"> </w:t>
      </w:r>
      <w:r>
        <w:t xml:space="preserve">- TBARS é necessário mas insuficiente — complementar com 4-HNE direto por citometria</w:t>
      </w:r>
      <w:r>
        <w:t xml:space="preserve"> </w:t>
      </w:r>
      <w:r>
        <w:t xml:space="preserve">- Incluir tióis intracelulares (ThiolTracker Violet) como marcador integrado</w:t>
      </w:r>
      <w:r>
        <w:t xml:space="preserve"> </w:t>
      </w:r>
      <w:r>
        <w:t xml:space="preserve">- MitoSOX Red para O₂⁻ especificamente mitocondrial</w:t>
      </w:r>
      <w:r>
        <w:t xml:space="preserve"> </w:t>
      </w:r>
      <w:r>
        <w:t xml:space="preserve">- Análise computacional de subpopulações (t-SNE/UMAP) além de médias populacionais</w:t>
      </w:r>
    </w:p>
    <w:bookmarkEnd w:id="50"/>
    <w:bookmarkStart w:id="51" w:name="X93e5fb465a3a99eb7c9d69aff8964f20589b5fe"/>
    <w:p>
      <w:pPr>
        <w:pStyle w:val="Heading3"/>
      </w:pPr>
      <w:r>
        <w:t xml:space="preserve">Regina M. Turner (Penn Vet, EUA) — Degeneração Testicular</w:t>
      </w:r>
    </w:p>
    <w:p>
      <w:pPr>
        <w:pStyle w:val="FirstParagraph"/>
      </w:pPr>
      <w:r>
        <w:rPr>
          <w:b/>
          <w:bCs/>
        </w:rPr>
        <w:t xml:space="preserve">Recomendações chave:</w:t>
      </w:r>
      <w:r>
        <w:t xml:space="preserve"> </w:t>
      </w:r>
      <w:r>
        <w:t xml:space="preserve">- Classificar garanhões do GS por estágio clínico da ITD (subclínico, compensado, descompensado, terminal)</w:t>
      </w:r>
      <w:r>
        <w:t xml:space="preserve"> </w:t>
      </w:r>
      <w:r>
        <w:t xml:space="preserve">- Calcular razão FSH/inibina B como índice integrado de integridade Sertoliana</w:t>
      </w:r>
      <w:r>
        <w:t xml:space="preserve"> </w:t>
      </w:r>
      <w:r>
        <w:t xml:space="preserve">- Considerar teste de estímulo com GnRH (50 μg IV, dosagens 0/30/60 min) para avaliar reserva funcional de Leydig</w:t>
      </w:r>
      <w:r>
        <w:t xml:space="preserve"> </w:t>
      </w:r>
      <w:r>
        <w:t xml:space="preserve">- Exigir histórico longitudinal — um único exame é um snapshot; a ITD é dinâmica</w:t>
      </w:r>
      <w:r>
        <w:t xml:space="preserve"> </w:t>
      </w:r>
      <w:r>
        <w:t xml:space="preserve">- Proteômica deve ser considerada obrigatória, não opcional</w:t>
      </w:r>
    </w:p>
    <w:bookmarkEnd w:id="51"/>
    <w:bookmarkStart w:id="52" w:name="X462b93cc228326675e95788ed0ccae4c95dfdcd"/>
    <w:p>
      <w:pPr>
        <w:pStyle w:val="Heading3"/>
      </w:pPr>
      <w:r>
        <w:t xml:space="preserve">Edward L. Squires (Tier 0 — Visão Integrativa)</w:t>
      </w:r>
    </w:p>
    <w:p>
      <w:pPr>
        <w:pStyle w:val="FirstParagraph"/>
      </w:pPr>
      <w:r>
        <w:rPr>
          <w:b/>
          <w:bCs/>
        </w:rPr>
        <w:t xml:space="preserve">Recomendações chave:</w:t>
      </w:r>
      <w:r>
        <w:t xml:space="preserve"> </w:t>
      </w:r>
      <w:r>
        <w:t xml:space="preserve">- Apresentar cálculo amostral formal baseado em tamanho de efeito (prioridade para pareceristas FAPESP)</w:t>
      </w:r>
      <w:r>
        <w:t xml:space="preserve"> </w:t>
      </w:r>
      <w:r>
        <w:t xml:space="preserve">- Considerar 15 animais por grupo se logisticamente viável</w:t>
      </w:r>
      <w:r>
        <w:t xml:space="preserve"> </w:t>
      </w:r>
      <w:r>
        <w:t xml:space="preserve">- Tratar idade como variável contínua (regressão) além da comparação categórica</w:t>
      </w:r>
      <w:r>
        <w:t xml:space="preserve"> </w:t>
      </w:r>
      <w:r>
        <w:t xml:space="preserve">- Enfatizar impacto translacional (garanhão como modelo para envelhecimento reprodutivo humano)</w:t>
      </w:r>
      <w:r>
        <w:t xml:space="preserve"> </w:t>
      </w:r>
      <w:r>
        <w:t xml:space="preserve">- Seção de impacto translacional pode ser decisiva na aprovação FAPESP</w:t>
      </w:r>
    </w:p>
    <w:p>
      <w:r>
        <w:pict>
          <v:rect style="width:0;height:1.5pt" o:hralign="center" o:hrstd="t" o:hr="t"/>
        </w:pict>
      </w:r>
    </w:p>
    <w:p>
      <w:pPr>
        <w:pStyle w:val="FirstParagraph"/>
      </w:pPr>
      <w:r>
        <w:rPr>
          <w:i/>
          <w:iCs/>
        </w:rPr>
        <w:t xml:space="preserve">Projeto elaborado com contribuições do Equine Reproduction Research Squad — 19 especialistas mundiais em reprodução equina.</w:t>
      </w:r>
    </w:p>
    <w:bookmarkEnd w:id="52"/>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2026-04-04T02:49:15Z</dcterms:created>
  <dcterms:modified xsi:type="dcterms:W3CDTF">2026-04-04T02:49:15Z</dcterms:modified>
</cp:coreProperties>
</file>

<file path=docProps/custom.xml><?xml version="1.0" encoding="utf-8"?>
<Properties xmlns="http://schemas.openxmlformats.org/officeDocument/2006/custom-properties" xmlns:vt="http://schemas.openxmlformats.org/officeDocument/2006/docPropsVTypes"/>
</file>