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003594"/>
          <w:sz w:val="36"/>
          <w:szCs w:val="36"/>
        </w:rPr>
        <w:t xml:space="preserve">Understanding BLS Employment Projections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What the data is, where it comes from, and what assumptions drive it</w:t>
      </w:r>
    </w:p>
    <w:p>
      <w:pPr>
        <w:pStyle w:val="Heading1"/>
      </w:pPr>
      <w:r>
        <w:t xml:space="preserve">What Are We Using?</w:t>
      </w:r>
    </w:p>
    <w:p>
      <w:pPr>
        <w:spacing w:after="100"/>
      </w:pPr>
      <w:r>
        <w:rPr>
          <w:sz w:val="20"/>
          <w:szCs w:val="20"/>
        </w:rPr>
        <w:t xml:space="preserve">Our market analysis uses BLS </w:t>
      </w:r>
      <w:r>
        <w:rPr>
          <w:b/>
          <w:bCs/>
          <w:sz w:val="20"/>
          <w:szCs w:val="20"/>
        </w:rPr>
        <w:t xml:space="preserve">10-year employment projections</w:t>
      </w:r>
      <w:r>
        <w:rPr>
          <w:sz w:val="20"/>
          <w:szCs w:val="20"/>
        </w:rPr>
        <w:t xml:space="preserve"> (currently the 2024–2034 cycle, released August 2025). These projections estimate future employment levels, growth rates, annual job openings, and separation rates for ~800 detailed occupations, including the five SHRS-aligned SOC codes we track.</w:t>
      </w:r>
    </w:p>
    <w:p>
      <w:pPr>
        <w:pStyle w:val="Heading1"/>
      </w:pPr>
      <w:r>
        <w:t xml:space="preserve">The BLS 6-Step Projection Pipeline</w:t>
      </w:r>
    </w:p>
    <w:p>
      <w:pPr>
        <w:spacing w:after="80"/>
      </w:pPr>
      <w:r>
        <w:rPr>
          <w:sz w:val="20"/>
          <w:szCs w:val="20"/>
        </w:rPr>
        <w:t xml:space="preserve">BLS projections are not simple trend extrapolations. They are produced through a six-step, interlinked modeling process where each step feeds the next. The sequence is iterated multiple times to ensure internal consistency.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200"/>
        <w:gridCol w:w="3670"/>
        <w:gridCol w:w="367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Data Source(s)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Labor Force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Projects the size and composition of the labor force by age, sex, race, and ethnicity using population projections and participation rate trends.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Census Bureau population projections; Current Population Survey (CPS) participation rates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Aggregate Economy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Projects GDP, unemployment, productivity, and other macro variables using the S&amp;P Global US Macro Model. Assumes full employment in the target year (no recessions projected).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S&amp;P Global US Macro Model; BLS labor force projections as constraints; energy price and fiscal/monetary policy assumptions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Final Demand (GDP)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Breaks aggregate GDP into detailed commodity-level demand using bridge tables from BEA benchmark input-output accounts.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Bureau of Economic Analysis (BEA) National Income and Product Accounts; benchmark I-O tables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Industry Output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Converts commodity demand into industry-level output requirements using an input-output model that tracks intermediate goods flows between industries.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BLS input-output tables (based on BEA benchmarks, scaled to BLS sector plan using NAICS)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Industry Employment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Translates industry output into employment using industry-specific productivity and hours assumptions. This is where healthcare sector growth directly enters.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Current Employment Statistics (CES); Quarterly Census of Employment and Wages (QCEW); productivity models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Occupational Employment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Distributes industry employment into ~800 occupations using staffing patterns (what share of each industry is each occupation). Change factors adjust for shifting occupational mix within industries over time.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Occupational Employment and Wage Statistics (OEWS) survey; National Employment Matrix; BLS-developed change factors</w:t>
            </w:r>
          </w:p>
        </w:tc>
      </w:tr>
    </w:tbl>
    <w:p>
      <w:pPr>
        <w:spacing w:before="100" w:after="40"/>
      </w:pPr>
    </w:p>
    <w:p>
      <w:pPr>
        <w:pStyle w:val="Heading1"/>
      </w:pPr>
      <w:r>
        <w:t xml:space="preserve">Where Our SHRS Occupations Enter This Pipeline</w:t>
      </w:r>
    </w:p>
    <w:p>
      <w:pPr>
        <w:spacing w:after="60"/>
      </w:pPr>
      <w:r>
        <w:rPr>
          <w:sz w:val="20"/>
          <w:szCs w:val="20"/>
        </w:rPr>
        <w:t xml:space="preserve">Our five tracked occupations (SLP, AuD, DN, AT, SS) appear at </w:t>
      </w:r>
      <w:r>
        <w:rPr>
          <w:b/>
          <w:bCs/>
          <w:sz w:val="20"/>
          <w:szCs w:val="20"/>
        </w:rPr>
        <w:t xml:space="preserve">Step 6</w:t>
      </w:r>
      <w:r>
        <w:rPr>
          <w:sz w:val="20"/>
          <w:szCs w:val="20"/>
        </w:rPr>
        <w:t xml:space="preserve"> as line items in the National Employment Matrix. Their projected employment is determined by two forces: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Industry growth: </w:t>
      </w:r>
      <w:r>
        <w:rPr>
          <w:sz w:val="20"/>
          <w:szCs w:val="20"/>
        </w:rPr>
        <w:t xml:space="preserve">How fast is healthcare (and other employing industries) growing? This flows from Steps 1–5.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Staffing pattern shifts: </w:t>
      </w:r>
      <w:r>
        <w:rPr>
          <w:sz w:val="20"/>
          <w:szCs w:val="20"/>
        </w:rPr>
        <w:t xml:space="preserve">Is the share of SLPs within healthcare increasing or decreasing? BLS analysts apply change factors based on research into technology, regulation, scope-of-practice, and demographic trends.</w:t>
      </w:r>
    </w:p>
    <w:p>
      <w:pPr>
        <w:spacing w:after="80"/>
      </w:pPr>
      <w:r>
        <w:rPr>
          <w:sz w:val="20"/>
          <w:szCs w:val="20"/>
        </w:rPr>
        <w:t xml:space="preserve">Additionally, </w:t>
      </w:r>
      <w:r>
        <w:rPr>
          <w:b/>
          <w:bCs/>
          <w:sz w:val="20"/>
          <w:szCs w:val="20"/>
        </w:rPr>
        <w:t xml:space="preserve">separation rates and annual openings</w:t>
      </w:r>
      <w:r>
        <w:rPr>
          <w:sz w:val="20"/>
          <w:szCs w:val="20"/>
        </w:rPr>
        <w:t xml:space="preserve"> (from Table 1.10 in our data) are calculated separately. Total annual openings = growth + labor force exits + occupational transfers. This is critical because even slow-growth occupations can have strong demand through replacement needs.</w:t>
      </w:r>
    </w:p>
    <w:p>
      <w:pPr>
        <w:pStyle w:val="Heading1"/>
      </w:pPr>
      <w:r>
        <w:t xml:space="preserve">Key Assumptions to Know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Full employment assumed: </w:t>
      </w:r>
      <w:r>
        <w:rPr>
          <w:sz w:val="20"/>
          <w:szCs w:val="20"/>
        </w:rPr>
        <w:t xml:space="preserve">BLS assumes equilibrium in the target year. No recessions are projected. This means the numbers represent structural trends, not cyclical fluctuations.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Technology impact is qualitative + quantitative: </w:t>
      </w:r>
      <w:r>
        <w:rPr>
          <w:sz w:val="20"/>
          <w:szCs w:val="20"/>
        </w:rPr>
        <w:t xml:space="preserve">BLS synthesizes qualitative assessments of technological change (including AI) with quantitative models. They assume an overall pace of tech change consistent with past experience.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No supply-side modeling: </w:t>
      </w:r>
      <w:r>
        <w:rPr>
          <w:sz w:val="20"/>
          <w:szCs w:val="20"/>
        </w:rPr>
        <w:t xml:space="preserve">BLS projects demand only. They do not project how many graduates or workers will be available to fill these roles. This is exactly the gap our IPEDS analysis will address.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0"/>
          <w:szCs w:val="20"/>
        </w:rPr>
        <w:t xml:space="preserve">Historical relationships are assumed to persist: </w:t>
      </w:r>
      <w:r>
        <w:rPr>
          <w:sz w:val="20"/>
          <w:szCs w:val="20"/>
        </w:rPr>
        <w:t xml:space="preserve">The models extrapolate historical patterns with analyst adjustments. Structural breaks (e.g., pandemic-scale disruptions) are not modeled.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Updated annually: </w:t>
      </w:r>
      <w:r>
        <w:rPr>
          <w:sz w:val="20"/>
          <w:szCs w:val="20"/>
        </w:rPr>
        <w:t xml:space="preserve">Projections are revised each year with new data. BLS also publishes evaluations of past projection accuracy.</w:t>
      </w:r>
    </w:p>
    <w:p>
      <w:pPr>
        <w:pStyle w:val="Heading1"/>
      </w:pPr>
      <w:r>
        <w:t xml:space="preserve">What We Present vs. What BLS Produces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BLS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59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Use in Scorecard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Employment levels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National Employment Matrix, Table 1.2 (occupation.xlsx)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Base and projected employment; growth rate calculation; benchmark vs. all-occupations rate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Annual openings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 1.2 (derived from separations model)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Openings score component (0–3 scale based on volume)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Separation rates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 1.10 (exit rates, transfer rates, total separations)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Replacement demand score; decomposition of openings into growth vs. turnover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Median wages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OEWS survey (annual) + Table 1.2 wage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Wage level score; historical wage trend analysis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Historical employment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OEWS annual files (2014–2024 national_M20XX_dl.xlsx)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Historical growth trend; validation of projection direction</w:t>
            </w:r>
          </w:p>
        </w:tc>
      </w:tr>
    </w:tbl>
    <w:p>
      <w:pPr>
        <w:spacing w:before="120" w:after="40"/>
      </w:pPr>
    </w:p>
    <w:p>
      <w:pPr>
        <w:pStyle w:val="Heading1"/>
      </w:pPr>
      <w:r>
        <w:t xml:space="preserve">Bottom Line</w:t>
      </w:r>
    </w:p>
    <w:p>
      <w:pPr>
        <w:spacing w:after="60"/>
      </w:pPr>
      <w:r>
        <w:rPr>
          <w:sz w:val="20"/>
          <w:szCs w:val="20"/>
        </w:rPr>
        <w:t xml:space="preserve">We are using the BLS projections as published—we are not re-estimating or modifying their models. Our value-add is in </w:t>
      </w:r>
      <w:r>
        <w:rPr>
          <w:b/>
          <w:bCs/>
          <w:i/>
          <w:iCs/>
          <w:sz w:val="20"/>
          <w:szCs w:val="20"/>
        </w:rPr>
        <w:t xml:space="preserve">synthesizing</w:t>
      </w:r>
      <w:r>
        <w:rPr>
          <w:sz w:val="20"/>
          <w:szCs w:val="20"/>
        </w:rPr>
        <w:t xml:space="preserve"> these projections across multiple cycles, combining them with historical OEWS data, skills profiles, and education requirements, and scoring them into a market demand signal for each SHRS program. The IPEDS completions data we are adding next will provide the supply-side complement that BLS intentionally omits.</w:t>
      </w:r>
    </w:p>
    <w:p>
      <w:pPr>
        <w:spacing w:before="160"/>
      </w:pPr>
    </w:p>
    <w:p>
      <w:pPr>
        <w:pBdr>
          <w:top w:val="single" w:color="CCCCCC" w:sz="4" w:space="4"/>
        </w:pBdr>
        <w:spacing w:after="40"/>
      </w:pPr>
      <w:r>
        <w:rPr>
          <w:rFonts w:ascii="Arial" w:cs="Arial" w:eastAsia="Arial" w:hAnsi="Arial"/>
          <w:b/>
          <w:bCs/>
          <w:color w:val="003594"/>
          <w:sz w:val="18"/>
          <w:szCs w:val="18"/>
        </w:rPr>
        <w:t xml:space="preserve">References</w:t>
      </w:r>
    </w:p>
    <w:p>
      <w:pPr>
        <w:spacing w:after="20"/>
      </w:pPr>
      <w:r>
        <w:rPr>
          <w:i/>
          <w:iCs/>
          <w:color w:val="666666"/>
          <w:sz w:val="16"/>
          <w:szCs w:val="16"/>
        </w:rPr>
        <w:t xml:space="preserve">BLS Handbook of Methods – Employment Projections: </w:t>
      </w:r>
      <w:r>
        <w:rPr>
          <w:color w:val="666666"/>
          <w:sz w:val="16"/>
          <w:szCs w:val="16"/>
        </w:rPr>
        <w:t xml:space="preserve">bls.gov/opub/hom/emp/</w:t>
      </w:r>
    </w:p>
    <w:p>
      <w:pPr>
        <w:spacing w:after="20"/>
      </w:pPr>
      <w:r>
        <w:rPr>
          <w:i/>
          <w:iCs/>
          <w:color w:val="666666"/>
          <w:sz w:val="16"/>
          <w:szCs w:val="16"/>
        </w:rPr>
        <w:t xml:space="preserve">BLS EP Methodology Overview: </w:t>
      </w:r>
      <w:r>
        <w:rPr>
          <w:color w:val="666666"/>
          <w:sz w:val="16"/>
          <w:szCs w:val="16"/>
        </w:rPr>
        <w:t xml:space="preserve">bls.gov/emp/documentation/projections-methods.htm</w:t>
      </w:r>
    </w:p>
    <w:p>
      <w:pPr>
        <w:spacing w:after="20"/>
      </w:pPr>
      <w:r>
        <w:rPr>
          <w:i/>
          <w:iCs/>
          <w:color w:val="666666"/>
          <w:sz w:val="16"/>
          <w:szCs w:val="16"/>
        </w:rPr>
        <w:t xml:space="preserve">BLS EP FAQ: </w:t>
      </w:r>
      <w:r>
        <w:rPr>
          <w:color w:val="666666"/>
          <w:sz w:val="16"/>
          <w:szCs w:val="16"/>
        </w:rPr>
        <w:t xml:space="preserve">bls.gov/emp/frequently-asked-questions.htm</w:t>
      </w:r>
    </w:p>
    <w:p>
      <w:pPr>
        <w:spacing w:after="20"/>
      </w:pPr>
      <w:r>
        <w:rPr>
          <w:i/>
          <w:iCs/>
          <w:color w:val="666666"/>
          <w:sz w:val="16"/>
          <w:szCs w:val="16"/>
        </w:rPr>
        <w:t xml:space="preserve">BLS Projections Evaluation Methods: </w:t>
      </w:r>
      <w:r>
        <w:rPr>
          <w:color w:val="666666"/>
          <w:sz w:val="16"/>
          <w:szCs w:val="16"/>
        </w:rPr>
        <w:t xml:space="preserve">bls.gov/emp/evaluations/methods.htm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  <w:jc w:val="right"/>
    </w:pPr>
    <w:r>
      <w:rPr>
        <w:rFonts w:ascii="Arial" w:cs="Arial" w:eastAsia="Arial" w:hAnsi="Arial"/>
        <w:color w:val="999999"/>
        <w:sz w:val="14"/>
        <w:szCs w:val="14"/>
      </w:rPr>
      <w:t xml:space="preserve">Prepared by Gabriel Penedo  |  February 2026  |  For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594" w:sz="6" w:space="4"/>
      </w:pBdr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SHRS MQE Capstone  |  </w:t>
    </w:r>
    <w:r>
      <w:rPr>
        <w:rFonts w:ascii="Arial" w:cs="Arial" w:eastAsia="Arial" w:hAnsi="Arial"/>
        <w:b/>
        <w:bCs/>
        <w:color w:val="003594"/>
        <w:sz w:val="16"/>
        <w:szCs w:val="16"/>
      </w:rPr>
      <w:t xml:space="preserve">BLS Employment Projections: Data Sources &amp;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00359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00359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2026-03-04T18:24:07.483Z</dcterms:created>
  <dcterms:modified xsi:type="dcterms:W3CDTF">2026-03-04T18:24:07.485Z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