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Análise de Valor Agregado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2.0 [Data: 20/10; Sprint 5]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VERSÃO FINAL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VERSÕES ANTERIORES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Cardo" w:cs="Cardo" w:eastAsia="Cardo" w:hAnsi="Cardo"/>
          <w:color w:val="363636"/>
          <w:sz w:val="24"/>
          <w:szCs w:val="24"/>
          <w:highlight w:val="white"/>
          <w:rtl w:val="0"/>
        </w:rPr>
        <w:t xml:space="preserve">→ Versão 1.0 [Data: 26/10; Sprint 4]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636"/>
          <w:sz w:val="24"/>
          <w:szCs w:val="24"/>
          <w:highlight w:val="white"/>
        </w:rPr>
        <w:drawing>
          <wp:inline distB="19050" distT="19050" distL="19050" distR="1905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