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Gráfico Burndown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363636"/>
          <w:sz w:val="24"/>
          <w:szCs w:val="24"/>
          <w:highlight w:val="white"/>
          <w:rtl w:val="0"/>
        </w:rPr>
        <w:t xml:space="preserve">→ Versão 2.0 [Data: 16/11; Sprint 5] -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  <w:rtl w:val="0"/>
        </w:rPr>
        <w:t xml:space="preserve">VERSÃO FINAL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  <w:rtl w:val="0"/>
        </w:rPr>
        <w:t xml:space="preserve">VERSÕES ANTERIORES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363636"/>
          <w:sz w:val="24"/>
          <w:szCs w:val="24"/>
          <w:highlight w:val="white"/>
          <w:rtl w:val="0"/>
        </w:rPr>
        <w:t xml:space="preserve">→ Versão 1.0 [Data: 26/10; Sprint 4]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9050" distT="19050" distL="19050" distR="1905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9050" distT="19050" distL="19050" distR="1905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