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V - OUTROS SERVIÇOS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{contrato_numero} - ANEXO AO CONTRATO DE PRESTAÇÃO DE SERVIÇOS DE INTERMEDIAÇÃO PARA DISPONIBILIZAÇÃO DE CRÉDITO Nº {contrato_numero}</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firmado em {contrato_data} entre VVK CAPITAL CONSULTORIA LTDA, tendo como nome fantasia ALETIS FINANÇAS ESTRATÉGICAS &amp; AGROBUSINESS, doravante denominada CONTRATADA, e {cliente_nome}, doravante denominada CONTRATANTE ("Contrato"),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OUTROS SERVIÇOS ("Serviços"), conforme descrição do item 1.1 (OBJETO), §1º, V do Contrato Principal.</w:t>
      </w:r>
    </w:p>
    <w:p>
      <w:pPr>
        <w:spacing w:before="0" w:after="120" w:line="240" w:lineRule="auto"/>
        <w:ind w:left="0" w:right="0" w:firstLine="0"/>
        <w:jc w:val="both"/>
      </w:pPr>
      <w:r>
        <w:rPr>
          <w:rFonts w:ascii="Verdana" w:hAnsi="Verdana" w:eastAsia="Verdana" w:cs="Verdana"/>
          <w:sz w:val="18"/>
          <w:szCs w:val="18"/>
        </w:rPr>
        <w:t xml:space="preserve">3. ABRANGÊNCIA DO SERVIÇO</w:t>
      </w:r>
    </w:p>
    <w:p>
      <w:pPr>
        <w:spacing w:before="0" w:after="120" w:line="240" w:lineRule="auto"/>
        <w:ind w:left="0" w:right="0" w:firstLine="0"/>
        <w:jc w:val="both"/>
      </w:pPr>
      <w:r>
        <w:rPr>
          <w:rFonts w:ascii="Verdana" w:hAnsi="Verdana" w:eastAsia="Verdana" w:cs="Verdana"/>
          <w:sz w:val="18"/>
          <w:szCs w:val="18"/>
        </w:rPr>
        <w:t xml:space="preserve">a) Por se tratar de serviços personalizados e de acordo com demandas pontuais, as atividades serão definidas de acordo com a necessidade da CONTRATANTE;</w:t>
      </w:r>
    </w:p>
    <w:p>
      <w:pPr>
        <w:spacing w:before="0" w:after="120" w:line="240" w:lineRule="auto"/>
        <w:ind w:left="0" w:right="0" w:firstLine="0"/>
        <w:jc w:val="both"/>
      </w:pPr>
      <w:r>
        <w:rPr>
          <w:rFonts w:ascii="Verdana" w:hAnsi="Verdana" w:eastAsia="Verdana" w:cs="Verdana"/>
          <w:sz w:val="18"/>
          <w:szCs w:val="18"/>
        </w:rPr>
        <w:t xml:space="preserve">b) Serviços de corretagem e venda de ativos, conforme necessidade da CONTRATANTE;</w:t>
      </w:r>
    </w:p>
    <w:p>
      <w:pPr>
        <w:spacing w:before="0" w:after="120" w:line="240" w:lineRule="auto"/>
        <w:ind w:left="0" w:right="0" w:firstLine="0"/>
        <w:jc w:val="both"/>
      </w:pPr>
      <w:r>
        <w:rPr>
          <w:rFonts w:ascii="Verdana" w:hAnsi="Verdana" w:eastAsia="Verdana" w:cs="Verdana"/>
          <w:sz w:val="18"/>
          <w:szCs w:val="18"/>
        </w:rPr>
        <w:t xml:space="preserve">c) Serviços de renegociação de dívidas com credores, reestruturando novas operações, seguem a remuneração característica da formalização de crédito.</w:t>
      </w:r>
    </w:p>
    <w:p>
      <w:pPr>
        <w:spacing w:before="0" w:after="120" w:line="240" w:lineRule="auto"/>
        <w:ind w:left="0" w:right="0" w:firstLine="0"/>
        <w:jc w:val="both"/>
      </w:pPr>
      <w:r>
        <w:rPr>
          <w:rFonts w:ascii="Verdana" w:hAnsi="Verdana" w:eastAsia="Verdana" w:cs="Verdana"/>
          <w:sz w:val="18"/>
          <w:szCs w:val="18"/>
        </w:rPr>
        <w:t xml:space="preserve">4. REMUNERAÇÃO. Em virtude dos Serviços a serem prestados pela CONTRATADA, serão pagos pela CONTRATANTE os seguintes honorários: ________________________________________________.</w:t>
      </w:r>
    </w:p>
    <w:p>
      <w:pPr>
        <w:spacing w:before="0" w:after="120" w:line="240" w:lineRule="auto"/>
        <w:ind w:left="0" w:right="0" w:firstLine="0"/>
        <w:jc w:val="both"/>
      </w:pPr>
      <w:r>
        <w:rPr>
          <w:rFonts w:ascii="Verdana" w:hAnsi="Verdana" w:eastAsia="Verdana" w:cs="Verdana"/>
          <w:sz w:val="18"/>
          <w:szCs w:val="18"/>
        </w:rPr>
        <w:t xml:space="preserve">4.1 . Todas e quaisquer despesas necessárias e incorridas pela CONTRATADA para a prestação dos Serviços estão devidamente incluídas na remuneração acima especificada.</w:t>
      </w:r>
    </w:p>
    <w:p>
      <w:pPr>
        <w:spacing w:before="0" w:after="120" w:line="240" w:lineRule="auto"/>
        <w:ind w:left="0" w:right="0" w:firstLine="0"/>
        <w:jc w:val="both"/>
      </w:pPr>
      <w:r>
        <w:rPr>
          <w:rFonts w:ascii="Verdana" w:hAnsi="Verdana" w:eastAsia="Verdana" w:cs="Verdana"/>
          <w:sz w:val="18"/>
          <w:szCs w:val="18"/>
        </w:rPr>
        <w:t xml:space="preserve">4.2 . Qualquer cobrança de honorários ou despesas adicionais, bem como atuação fora do escopo que demande cobranças adicionais, deve ser precedida de autorização expressa, por escrito, pela CONTRATANTE, com a correspondente sinalização das importâncias aplicáveis.</w:t>
      </w:r>
    </w:p>
    <w:p>
      <w:pPr>
        <w:spacing w:before="0" w:after="120" w:line="240" w:lineRule="auto"/>
        <w:ind w:left="0" w:right="0" w:firstLine="0"/>
        <w:jc w:val="both"/>
      </w:pPr>
      <w:r>
        <w:rPr>
          <w:rFonts w:ascii="Verdana" w:hAnsi="Verdana" w:eastAsia="Verdana" w:cs="Verdana"/>
          <w:sz w:val="18"/>
          <w:szCs w:val="18"/>
        </w:rPr>
        <w:t xml:space="preserve">4.3 . Em caso de atraso do pagamento por culpa exclusiva da CONTRATANTE, esta poderá ser submetida à multa moratória de 2% (dois por cento) sobre o valor inadimplido, juros moratórios mensais de 1% (um por cento) e correção monetária calculada pela variação do IGP-M/FGV, ambos aplicados pro rata die até final quitação integral da obrigação.</w:t>
      </w:r>
    </w:p>
    <w:p>
      <w:pPr>
        <w:spacing w:before="0" w:after="120" w:line="240" w:lineRule="auto"/>
        <w:ind w:left="0" w:right="0" w:firstLine="0"/>
        <w:jc w:val="both"/>
      </w:pPr>
      <w:r>
        <w:rPr>
          <w:rFonts w:ascii="Verdana" w:hAnsi="Verdana" w:eastAsia="Verdana" w:cs="Verdana"/>
          <w:sz w:val="18"/>
          <w:szCs w:val="18"/>
        </w:rPr>
        <w:t xml:space="preserve">5. VIGÊNCIA. A presente Requisição de Serviço vigerá pelo prazo determinado, com início em 19 de novembro de 2025 e término em 19 de novembro de 2030, podendo ser prorrogada por prazo indeterminado caso não seja denunciada por qualquer das Partes com 30 (trinta) dias de antecedência do término do prazo inicialmente acordado.</w:t>
      </w:r>
    </w:p>
    <w:p>
      <w:pPr>
        <w:spacing w:before="0" w:after="120" w:line="240" w:lineRule="auto"/>
        <w:ind w:left="0" w:right="0" w:firstLine="0"/>
        <w:jc w:val="both"/>
      </w:pPr>
      <w:r>
        <w:rPr>
          <w:rFonts w:ascii="Verdana" w:hAnsi="Verdana" w:eastAsia="Verdana" w:cs="Verdana"/>
          <w:sz w:val="18"/>
          <w:szCs w:val="18"/>
        </w:rPr>
        <w:t xml:space="preserve">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i w:val="0"/>
          <w:sz w:val="18"/>
          <w:szCs w:val="18"/>
        </w:rPr>
      </w:r>
    </w:p>
    <w:p>
      <w:pPr>
        <w:spacing w:before="0" w:after="120" w:line="240" w:lineRule="auto"/>
        <w:ind w:left="0" w:right="0" w:firstLine="0"/>
        <w:jc w:val="left"/>
      </w:pPr>
      <w:r>
        <w:rPr>
          <w:rFonts w:ascii="Verdana" w:hAnsi="Verdana" w:eastAsia="Verdana" w:cs="Verdana"/>
          <w:b w:val="0"/>
          <w:i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pPr>
      <w:spacing w:after="100" w:line="252" w:lineRule="auto"/>
    </w:pPr>
    <w:rPr>
      <w:rFonts w:ascii="Verdana" w:hAnsi="Verdana" w:eastAsia="Verdana" w:cs="Verdana"/>
      <w:sz w:val="18"/>
      <w:szCs w:val="18"/>
    </w:rPr>
    <w:tblPr>
      <w:tblCellMar>
        <w:top w:w="100.0" w:type="dxa"/>
        <w:left w:w="100.0" w:type="dxa"/>
        <w:bottom w:w="100.0" w:type="dxa"/>
        <w:right w:w="100.0" w:type="dxa"/>
      </w:tblCellMar>
    </w:tblPr>
  </w:style>
  <w:style w:type="paragraph" w:styleId="Normal" w:default="1">
    <w:name w:val="normal"/>
    <w:pPr>
      <w:spacing w:after="100" w:line="252"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00" w:before="400" w:lineRule="auto" w:line="252"/>
    </w:pPr>
    <w:rPr>
      <w:rFonts w:ascii="Verdana" w:hAnsi="Verdana" w:eastAsia="Verdana" w:cs="Verdana"/>
      <w:sz w:val="18"/>
      <w:szCs w:val="18"/>
    </w:rPr>
  </w:style>
  <w:style w:type="paragraph" w:styleId="Heading2">
    <w:name w:val="heading 2"/>
    <w:basedOn w:val="Normal"/>
    <w:next w:val="Normal"/>
    <w:pPr>
      <w:keepNext w:val="1"/>
      <w:keepLines w:val="1"/>
      <w:pageBreakBefore w:val="0"/>
      <w:spacing w:after="100" w:before="360" w:lineRule="auto" w:line="252"/>
    </w:pPr>
    <w:rPr>
      <w:rFonts w:ascii="Verdana" w:hAnsi="Verdana" w:eastAsia="Verdana" w:cs="Verdana"/>
      <w:b w:val="0"/>
      <w:bCs w:val="0"/>
      <w:sz w:val="18"/>
      <w:szCs w:val="18"/>
    </w:rPr>
  </w:style>
  <w:style w:type="paragraph" w:styleId="Heading3">
    <w:name w:val="heading 3"/>
    <w:basedOn w:val="Normal"/>
    <w:next w:val="Normal"/>
    <w:pPr>
      <w:keepNext w:val="1"/>
      <w:keepLines w:val="1"/>
      <w:pageBreakBefore w:val="0"/>
      <w:spacing w:after="100" w:before="320" w:lineRule="auto" w:line="252"/>
    </w:pPr>
    <w:rPr>
      <w:rFonts w:ascii="Verdana" w:hAnsi="Verdana" w:eastAsia="Verdana" w:cs="Verdana"/>
      <w:b w:val="0"/>
      <w:bCs w:val="0"/>
      <w:color w:val="434343"/>
      <w:sz w:val="18"/>
      <w:szCs w:val="18"/>
    </w:rPr>
  </w:style>
  <w:style w:type="paragraph" w:styleId="Heading4">
    <w:name w:val="heading 4"/>
    <w:basedOn w:val="Normal"/>
    <w:next w:val="Normal"/>
    <w:pPr>
      <w:keepNext w:val="1"/>
      <w:keepLines w:val="1"/>
      <w:pageBreakBefore w:val="0"/>
      <w:spacing w:after="100" w:before="280" w:lineRule="auto" w:line="252"/>
    </w:pPr>
    <w:rPr>
      <w:rFonts w:ascii="Verdana" w:hAnsi="Verdana" w:eastAsia="Verdana" w:cs="Verdana"/>
      <w:color w:val="666666"/>
      <w:sz w:val="18"/>
      <w:szCs w:val="18"/>
    </w:rPr>
  </w:style>
  <w:style w:type="paragraph" w:styleId="Heading5">
    <w:name w:val="heading 5"/>
    <w:basedOn w:val="Normal"/>
    <w:next w:val="Normal"/>
    <w:pPr>
      <w:keepNext w:val="1"/>
      <w:keepLines w:val="1"/>
      <w:pageBreakBefore w:val="0"/>
      <w:spacing w:after="100" w:before="240" w:lineRule="auto" w:line="252"/>
    </w:pPr>
    <w:rPr>
      <w:rFonts w:ascii="Verdana" w:hAnsi="Verdana" w:eastAsia="Verdana" w:cs="Verdana"/>
      <w:color w:val="666666"/>
      <w:sz w:val="18"/>
      <w:szCs w:val="18"/>
    </w:rPr>
  </w:style>
  <w:style w:type="paragraph" w:styleId="Heading6">
    <w:name w:val="heading 6"/>
    <w:basedOn w:val="Normal"/>
    <w:next w:val="Normal"/>
    <w:pPr>
      <w:keepNext w:val="1"/>
      <w:keepLines w:val="1"/>
      <w:pageBreakBefore w:val="0"/>
      <w:spacing w:after="100" w:before="240" w:lineRule="auto" w:line="252"/>
    </w:pPr>
    <w:rPr>
      <w:rFonts w:ascii="Verdana" w:hAnsi="Verdana" w:eastAsia="Verdana" w:cs="Verdana"/>
      <w:i w:val="1"/>
      <w:iCs w:val="1"/>
      <w:color w:val="666666"/>
      <w:sz w:val="18"/>
      <w:szCs w:val="18"/>
    </w:rPr>
  </w:style>
  <w:style w:type="paragraph" w:styleId="Title">
    <w:name w:val="Title"/>
    <w:basedOn w:val="Normal"/>
    <w:next w:val="Normal"/>
    <w:pPr>
      <w:keepNext w:val="1"/>
      <w:keepLines w:val="1"/>
      <w:pageBreakBefore w:val="0"/>
      <w:spacing w:after="100" w:before="0" w:lineRule="auto" w:line="252"/>
    </w:pPr>
    <w:rPr>
      <w:rFonts w:ascii="Verdana" w:hAnsi="Verdana" w:eastAsia="Verdana" w:cs="Verdana"/>
      <w:sz w:val="18"/>
      <w:szCs w:val="18"/>
    </w:rPr>
  </w:style>
  <w:style w:type="paragraph" w:styleId="Subtitle">
    <w:name w:val="Subtitle"/>
    <w:basedOn w:val="Normal"/>
    <w:next w:val="Normal"/>
    <w:pPr>
      <w:keepNext w:val="1"/>
      <w:keepLines w:val="1"/>
      <w:pageBreakBefore w:val="0"/>
      <w:spacing w:after="100" w:before="0" w:lineRule="auto" w:line="252"/>
    </w:pPr>
    <w:rPr>
      <w:rFonts w:ascii="Verdana" w:cs="Verdana" w:eastAsia="Verdana" w:hAnsi="Verdana"/>
      <w:i w:val="0"/>
      <w:iCs w:val="0"/>
      <w:color w:val="666666"/>
      <w:sz w:val="18"/>
      <w:szCs w:val="18"/>
    </w:rPr>
  </w:style>
  <w:style w:type="table" w:styleId="Table1">
    <w:basedOn w:val="TableNormal"/>
    <w:pPr>
      <w:spacing w:after="100" w:line="252" w:lineRule="auto"/>
    </w:pPr>
    <w:rPr>
      <w:rFonts w:ascii="Verdana" w:hAnsi="Verdana" w:eastAsia="Verdana" w:cs="Verdana"/>
      <w:sz w:val="18"/>
      <w:szCs w:val="18"/>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