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0AE" w:rsidRDefault="00DF40AE" w:rsidP="00A932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Historicamente, o tratamento dado à criança e ao adolescente tem sua origem em práticas portuguesas. </w:t>
      </w:r>
      <w:r w:rsidR="004C1331">
        <w:rPr>
          <w:rFonts w:ascii="Arial" w:hAnsi="Arial" w:cs="Arial"/>
          <w:sz w:val="24"/>
          <w:szCs w:val="24"/>
        </w:rPr>
        <w:t xml:space="preserve">Segundo Martins (2004), citada por Lima e </w:t>
      </w:r>
      <w:proofErr w:type="spellStart"/>
      <w:r w:rsidR="004C1331">
        <w:rPr>
          <w:rFonts w:ascii="Arial" w:hAnsi="Arial" w:cs="Arial"/>
          <w:sz w:val="24"/>
          <w:szCs w:val="24"/>
        </w:rPr>
        <w:t>Minadeo</w:t>
      </w:r>
      <w:proofErr w:type="spellEnd"/>
      <w:r w:rsidR="004C1331">
        <w:rPr>
          <w:rFonts w:ascii="Arial" w:hAnsi="Arial" w:cs="Arial"/>
          <w:sz w:val="24"/>
          <w:szCs w:val="24"/>
        </w:rPr>
        <w:t xml:space="preserve"> (2012)</w:t>
      </w:r>
      <w:r w:rsidR="001D0754">
        <w:rPr>
          <w:rFonts w:ascii="Arial" w:hAnsi="Arial" w:cs="Arial"/>
          <w:sz w:val="24"/>
          <w:szCs w:val="24"/>
        </w:rPr>
        <w:t xml:space="preserve">, o Brasil adotou a prática da Roda dos Expostos em seu período colonial – um mecanismo utilizado para abandonar recém-nascidos em frente a instituições de caridade sem que o “abandonador” fosse reconhecido. Tal prática tem suas raízes essencialmente na cultura portuguesa e a primeira Roda foi instalada no Brasil em Salvador, antes de 1700 e regulamentada pelo Império Português em 1806. </w:t>
      </w:r>
      <w:r w:rsidR="00EA216D">
        <w:rPr>
          <w:rFonts w:ascii="Arial" w:hAnsi="Arial" w:cs="Arial"/>
          <w:sz w:val="24"/>
          <w:szCs w:val="24"/>
        </w:rPr>
        <w:t>A crise do aumento dos crimes, então ainda denominados, e abandonos só seria posteriormente subvertida através de uma reestruturação do conceito social de família nas camadas burguesas e nobres do antigo regime e, posteriormente, no proletariado do século XIX (MARTINS, 2004).</w:t>
      </w:r>
    </w:p>
    <w:p w:rsidR="00EA216D" w:rsidRDefault="00DC696A" w:rsidP="00A9327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fato importante foi a implementação de uma política governamental de </w:t>
      </w:r>
      <w:proofErr w:type="spellStart"/>
      <w:r>
        <w:rPr>
          <w:rFonts w:ascii="Arial" w:hAnsi="Arial" w:cs="Arial"/>
          <w:sz w:val="24"/>
          <w:szCs w:val="24"/>
        </w:rPr>
        <w:t>higienismo</w:t>
      </w:r>
      <w:proofErr w:type="spellEnd"/>
      <w:r>
        <w:rPr>
          <w:rFonts w:ascii="Arial" w:hAnsi="Arial" w:cs="Arial"/>
          <w:sz w:val="24"/>
          <w:szCs w:val="24"/>
        </w:rPr>
        <w:t xml:space="preserve">[sic] ou eugenia que teve como objetivo disciplinar as famílias pobres (COSTA, 1998). A atuação higienista, por meio de uma política de inserção nas famílias, foi justamente o início da culminação de um código de proteção de menores posteriormente no período inicial da República. Os primeiros Códigos de Menores foram elaborados em 1927 e 1929 e, segundo Martins, 2004, adotaram progressivamente medidas de proteção estatal à criança e </w:t>
      </w:r>
      <w:r w:rsidR="00BB4455">
        <w:rPr>
          <w:rFonts w:ascii="Arial" w:hAnsi="Arial" w:cs="Arial"/>
          <w:sz w:val="24"/>
          <w:szCs w:val="24"/>
        </w:rPr>
        <w:t>ao</w:t>
      </w:r>
      <w:r>
        <w:rPr>
          <w:rFonts w:ascii="Arial" w:hAnsi="Arial" w:cs="Arial"/>
          <w:sz w:val="24"/>
          <w:szCs w:val="24"/>
        </w:rPr>
        <w:t xml:space="preserve"> adolescente</w:t>
      </w:r>
      <w:r w:rsidR="00BB4455">
        <w:rPr>
          <w:rFonts w:ascii="Arial" w:hAnsi="Arial" w:cs="Arial"/>
          <w:sz w:val="24"/>
          <w:szCs w:val="24"/>
        </w:rPr>
        <w:t xml:space="preserve"> e de institucionalização responsável, algo não presente no Código Penal de 1891 embora este reconhecesse a inimputabilidade penal do menor de idade (GEBELUKA, 2008).</w:t>
      </w:r>
    </w:p>
    <w:p w:rsidR="00751C51" w:rsidRDefault="00751C51" w:rsidP="00DF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81D73">
        <w:rPr>
          <w:rFonts w:ascii="Arial" w:hAnsi="Arial" w:cs="Arial"/>
          <w:sz w:val="24"/>
          <w:szCs w:val="24"/>
        </w:rPr>
        <w:t>O período entre as décadas de 20 e 70 foi caracterizado por uma doutrina pró direitos da criança e do adolescente dentro da esfera jurídica do Brasil. A institucionalização e responsabilização do Estado pela proteção de crianças e adolescentes só se concretizou em dezembro de 1964 com a criação da Fundação Nacional do Bem-Estar (</w:t>
      </w:r>
      <w:proofErr w:type="spellStart"/>
      <w:r w:rsidR="00E81D73">
        <w:rPr>
          <w:rFonts w:ascii="Arial" w:hAnsi="Arial" w:cs="Arial"/>
          <w:sz w:val="24"/>
          <w:szCs w:val="24"/>
        </w:rPr>
        <w:t>Funabem</w:t>
      </w:r>
      <w:proofErr w:type="spellEnd"/>
      <w:r w:rsidR="00E81D73">
        <w:rPr>
          <w:rFonts w:ascii="Arial" w:hAnsi="Arial" w:cs="Arial"/>
          <w:sz w:val="24"/>
          <w:szCs w:val="24"/>
        </w:rPr>
        <w:t xml:space="preserve">). No mesmo ano, o Brasil tornou-se palco de um movimento repressivo e mitigatório de alguns direitos fundamentais em função do Regime Militar então instalado, criando talvez uma aparente contradição. </w:t>
      </w:r>
      <w:r w:rsidR="000238FC">
        <w:rPr>
          <w:rFonts w:ascii="Arial" w:hAnsi="Arial" w:cs="Arial"/>
          <w:sz w:val="24"/>
          <w:szCs w:val="24"/>
        </w:rPr>
        <w:t xml:space="preserve">O governo então, em vista do descontentamento popular, adotou medidas paternalistas e assistencialistas como medida de controle indireto social daqueles considerados “à margem da lei e dos bons costumes” (LIMA; MINADEO, 2012). Houve a intensificação de práticas de destituição de poder pátrio e </w:t>
      </w:r>
      <w:r w:rsidR="00A30AE3">
        <w:rPr>
          <w:rFonts w:ascii="Arial" w:hAnsi="Arial" w:cs="Arial"/>
          <w:sz w:val="24"/>
          <w:szCs w:val="24"/>
        </w:rPr>
        <w:t xml:space="preserve">internação, algo que causou aumento no número de “sentenças”. A </w:t>
      </w:r>
      <w:proofErr w:type="spellStart"/>
      <w:r w:rsidR="00A30AE3">
        <w:rPr>
          <w:rFonts w:ascii="Arial" w:hAnsi="Arial" w:cs="Arial"/>
          <w:sz w:val="24"/>
          <w:szCs w:val="24"/>
        </w:rPr>
        <w:t>Funabem</w:t>
      </w:r>
      <w:proofErr w:type="spellEnd"/>
      <w:r w:rsidR="00A30AE3">
        <w:rPr>
          <w:rFonts w:ascii="Arial" w:hAnsi="Arial" w:cs="Arial"/>
          <w:sz w:val="24"/>
          <w:szCs w:val="24"/>
        </w:rPr>
        <w:t xml:space="preserve"> foi sucedida pela Fundação Estadual do Bem-Estar do Menor (Febem), que nada mudou em sua política de caráter compartilhada por sua antecessora. </w:t>
      </w:r>
    </w:p>
    <w:p w:rsidR="00C43965" w:rsidRDefault="00C43965" w:rsidP="00DF40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r>
        <w:rPr>
          <w:rFonts w:ascii="Arial" w:hAnsi="Arial" w:cs="Arial"/>
          <w:i/>
          <w:iCs/>
          <w:sz w:val="24"/>
          <w:szCs w:val="24"/>
        </w:rPr>
        <w:t>modus operandi</w:t>
      </w:r>
      <w:r>
        <w:rPr>
          <w:rFonts w:ascii="Arial" w:hAnsi="Arial" w:cs="Arial"/>
          <w:sz w:val="24"/>
          <w:szCs w:val="24"/>
        </w:rPr>
        <w:t xml:space="preserve"> da Febem era dividido em duas classificações – assistencialistas, intervenção no caso de crianças necessitadas – e repressoras – para crianças infratoras. De acordo com Martins (1993), a atuação das unidades teve focos de tratamento invertidos: nas unidades assistencialistas aplicava-se “a disciplina em nome da ordem” e nas unidades repressoras, “a disciplina em nome da segurança”. A</w:t>
      </w:r>
      <w:r w:rsidR="0098358E">
        <w:rPr>
          <w:rFonts w:ascii="Arial" w:hAnsi="Arial" w:cs="Arial"/>
          <w:sz w:val="24"/>
          <w:szCs w:val="24"/>
        </w:rPr>
        <w:t xml:space="preserve"> Febem passou a ter então como função não a reinserção das crianças e dos adolescentes na sociedade, mas sim a encoberta de parcela significativa da população dentro de tal faixa etária em situação irregular (GEBELUKA, 2008, p. 46).</w:t>
      </w:r>
    </w:p>
    <w:p w:rsidR="0098358E" w:rsidRPr="00C43965" w:rsidRDefault="0098358E" w:rsidP="00DF40AE">
      <w:pPr>
        <w:jc w:val="both"/>
      </w:pPr>
      <w:r>
        <w:rPr>
          <w:rFonts w:ascii="Arial" w:hAnsi="Arial" w:cs="Arial"/>
          <w:sz w:val="24"/>
          <w:szCs w:val="24"/>
        </w:rPr>
        <w:lastRenderedPageBreak/>
        <w:tab/>
        <w:t xml:space="preserve">O Código do Menor implementado em 1979 quase nada mudou em relação ao anterior de 1929. Durante um período de cerca de 50 anos, a política paternalista e assistencialista prevaleceu, até o início da elaboração de novos programas baseados em premissas alternativas comunitárias e embasadas num caráter caritativo, abandonando os fins correcionais da política paternalista. (Apud GEBELUKA, 2008, p. 46). </w:t>
      </w:r>
      <w:r w:rsidR="00AC20B0">
        <w:rPr>
          <w:rFonts w:ascii="Arial" w:hAnsi="Arial" w:cs="Arial"/>
          <w:sz w:val="24"/>
          <w:szCs w:val="24"/>
        </w:rPr>
        <w:t>A consolidação de tais premissas caritativas em vista da falência do sistema de internação e repressão foi refletida na promulgação da Constituição de 1988 e na Declaração dos Direitos Universal dos Direitos das Crianças, além de posterior promulgação legislativa.</w:t>
      </w:r>
    </w:p>
    <w:p w:rsidR="00133654" w:rsidRPr="00073182" w:rsidRDefault="00A44CB4" w:rsidP="00DF40A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>De acordo com a lei federal 8</w:t>
      </w:r>
      <w:r w:rsidR="006E622D" w:rsidRPr="00073182">
        <w:rPr>
          <w:rFonts w:ascii="Arial" w:hAnsi="Arial" w:cs="Arial"/>
          <w:sz w:val="24"/>
          <w:szCs w:val="24"/>
        </w:rPr>
        <w:t>.</w:t>
      </w:r>
      <w:r w:rsidRPr="00073182">
        <w:rPr>
          <w:rFonts w:ascii="Arial" w:hAnsi="Arial" w:cs="Arial"/>
          <w:sz w:val="24"/>
          <w:szCs w:val="24"/>
        </w:rPr>
        <w:t xml:space="preserve">069 promulgada em </w:t>
      </w:r>
      <w:r w:rsidR="00AC20B0">
        <w:rPr>
          <w:rFonts w:ascii="Arial" w:hAnsi="Arial" w:cs="Arial"/>
          <w:sz w:val="24"/>
          <w:szCs w:val="24"/>
        </w:rPr>
        <w:t xml:space="preserve">junho de </w:t>
      </w:r>
      <w:r w:rsidRPr="00073182">
        <w:rPr>
          <w:rFonts w:ascii="Arial" w:hAnsi="Arial" w:cs="Arial"/>
          <w:sz w:val="24"/>
          <w:szCs w:val="24"/>
        </w:rPr>
        <w:t>1990 denominada Estatuto da Criança e Adolescente (ECA), considera-se um indivíduo como criança aquele de até doze anos de idade incompletos e adolescente aquele entre doze e dezoito anos, salvo alguns casos excepcionais cuja idade abrange entre dezenove e vinte e um</w:t>
      </w:r>
      <w:r w:rsidR="00CE5E7A" w:rsidRPr="00073182">
        <w:rPr>
          <w:rFonts w:ascii="Arial" w:hAnsi="Arial" w:cs="Arial"/>
          <w:sz w:val="24"/>
          <w:szCs w:val="24"/>
        </w:rPr>
        <w:t xml:space="preserve"> anos</w:t>
      </w:r>
      <w:r w:rsidRPr="00073182">
        <w:rPr>
          <w:rFonts w:ascii="Arial" w:hAnsi="Arial" w:cs="Arial"/>
          <w:sz w:val="24"/>
          <w:szCs w:val="24"/>
        </w:rPr>
        <w:t xml:space="preserve"> (VIEGAS; RABELO, 2011)</w:t>
      </w:r>
      <w:r w:rsidR="00CE5E7A" w:rsidRPr="00073182">
        <w:rPr>
          <w:rFonts w:ascii="Arial" w:hAnsi="Arial" w:cs="Arial"/>
          <w:sz w:val="24"/>
          <w:szCs w:val="24"/>
        </w:rPr>
        <w:t>.</w:t>
      </w:r>
    </w:p>
    <w:p w:rsidR="00A44CB4" w:rsidRPr="00073182" w:rsidRDefault="00A44CB4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>O ECA em si, por sua vez, tem como objetivo a proteção daqueles anteriormente definidos</w:t>
      </w:r>
      <w:r w:rsidR="006E622D" w:rsidRPr="00073182">
        <w:rPr>
          <w:rFonts w:ascii="Arial" w:hAnsi="Arial" w:cs="Arial"/>
          <w:sz w:val="24"/>
          <w:szCs w:val="24"/>
        </w:rPr>
        <w:t xml:space="preserve"> como crianças e adolescentes, a fim de lhes proporcionar as condições necessárias para desenvolvimento indiv</w:t>
      </w:r>
      <w:r w:rsidR="00CE5E7A" w:rsidRPr="00073182">
        <w:rPr>
          <w:rFonts w:ascii="Arial" w:hAnsi="Arial" w:cs="Arial"/>
          <w:sz w:val="24"/>
          <w:szCs w:val="24"/>
        </w:rPr>
        <w:t>idual e social (ECA, art. 4</w:t>
      </w:r>
      <w:r w:rsidR="00BB6639" w:rsidRPr="00073182">
        <w:rPr>
          <w:rFonts w:ascii="Arial" w:hAnsi="Arial" w:cs="Arial"/>
          <w:sz w:val="24"/>
          <w:szCs w:val="24"/>
        </w:rPr>
        <w:t>, parágrafo único</w:t>
      </w:r>
      <w:r w:rsidR="006E622D" w:rsidRPr="00073182">
        <w:rPr>
          <w:rFonts w:ascii="Arial" w:hAnsi="Arial" w:cs="Arial"/>
          <w:sz w:val="24"/>
          <w:szCs w:val="24"/>
        </w:rPr>
        <w:t>). O estatutário atribui a responsabilidade de fornecimento de tais condições</w:t>
      </w:r>
      <w:r w:rsidR="00CE5E7A" w:rsidRPr="00073182">
        <w:rPr>
          <w:rFonts w:ascii="Arial" w:hAnsi="Arial" w:cs="Arial"/>
          <w:sz w:val="24"/>
          <w:szCs w:val="24"/>
        </w:rPr>
        <w:t xml:space="preserve"> à instituição familiar e ao Estado</w:t>
      </w:r>
      <w:r w:rsidR="006E622D" w:rsidRPr="00073182">
        <w:rPr>
          <w:rFonts w:ascii="Arial" w:hAnsi="Arial" w:cs="Arial"/>
          <w:sz w:val="24"/>
          <w:szCs w:val="24"/>
        </w:rPr>
        <w:t xml:space="preserve">, tendo o posterior como responsabilidades especiais o sustento, guarda e educação, sob pena de perda caso alegada a carência de recursos </w:t>
      </w:r>
      <w:r w:rsidR="00CE5E7A" w:rsidRPr="00073182">
        <w:rPr>
          <w:rFonts w:ascii="Arial" w:hAnsi="Arial" w:cs="Arial"/>
          <w:sz w:val="24"/>
          <w:szCs w:val="24"/>
        </w:rPr>
        <w:t>materiais; e tendo o anterior a capacidade de intervenção caso as condições em questão não sejam obtidas (VIEGAS; RABELO, 2011).</w:t>
      </w:r>
    </w:p>
    <w:p w:rsidR="00CE5E7A" w:rsidRPr="00073182" w:rsidRDefault="00BC081A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>A fim de especificar</w:t>
      </w:r>
      <w:r w:rsidR="00476432">
        <w:rPr>
          <w:rFonts w:ascii="Arial" w:hAnsi="Arial" w:cs="Arial"/>
          <w:sz w:val="24"/>
          <w:szCs w:val="24"/>
        </w:rPr>
        <w:t xml:space="preserve"> as condições</w:t>
      </w:r>
      <w:r w:rsidR="00172E42">
        <w:rPr>
          <w:rFonts w:ascii="Arial" w:hAnsi="Arial" w:cs="Arial"/>
          <w:sz w:val="24"/>
          <w:szCs w:val="24"/>
        </w:rPr>
        <w:t xml:space="preserve"> </w:t>
      </w:r>
      <w:r w:rsidRPr="00073182">
        <w:rPr>
          <w:rFonts w:ascii="Arial" w:hAnsi="Arial" w:cs="Arial"/>
          <w:sz w:val="24"/>
          <w:szCs w:val="24"/>
        </w:rPr>
        <w:t>é necessário especificar os direitos e deveres da criança ou adolescente. Os direitos incluem o direito à vida, à saúde, à alimentação, à educação, ao lazer, à cultura, à liberdade, à profissionalização e à proteção no trabalho. Tais direitos são fundamentados na Constituição de 1988.</w:t>
      </w:r>
      <w:r w:rsidR="00073182" w:rsidRPr="00073182">
        <w:rPr>
          <w:rFonts w:ascii="Arial" w:hAnsi="Arial" w:cs="Arial"/>
          <w:sz w:val="24"/>
          <w:szCs w:val="24"/>
        </w:rPr>
        <w:t xml:space="preserve"> Os deveres da</w:t>
      </w:r>
      <w:r w:rsidR="00073182">
        <w:rPr>
          <w:rFonts w:ascii="Arial" w:hAnsi="Arial" w:cs="Arial"/>
          <w:sz w:val="24"/>
          <w:szCs w:val="24"/>
        </w:rPr>
        <w:t xml:space="preserve"> criança ou adolescente são exatamente os mesmos dos deveres de todo cidadão, dentro do princípio da isonomia descrito no art. 5º da Constituição brasileira de 1988.</w:t>
      </w:r>
    </w:p>
    <w:p w:rsidR="00172E42" w:rsidRDefault="009B4852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  <w:t xml:space="preserve">O Conselho Tutelar é uma das entidades públicas responsáveis pela </w:t>
      </w:r>
      <w:r w:rsidR="00A22573" w:rsidRPr="00073182">
        <w:rPr>
          <w:rFonts w:ascii="Arial" w:hAnsi="Arial" w:cs="Arial"/>
          <w:sz w:val="24"/>
          <w:szCs w:val="24"/>
        </w:rPr>
        <w:t>fiscalização</w:t>
      </w:r>
      <w:r w:rsidRPr="00073182">
        <w:rPr>
          <w:rFonts w:ascii="Arial" w:hAnsi="Arial" w:cs="Arial"/>
          <w:sz w:val="24"/>
          <w:szCs w:val="24"/>
        </w:rPr>
        <w:t xml:space="preserve"> e intervenção em caso de desrespeito dos direitos da criança e adolescente previstos pelo ECA, além dos direitos e deveres.</w:t>
      </w:r>
      <w:r w:rsidR="00172E42">
        <w:rPr>
          <w:rFonts w:ascii="Arial" w:hAnsi="Arial" w:cs="Arial"/>
          <w:sz w:val="24"/>
          <w:szCs w:val="24"/>
        </w:rPr>
        <w:t xml:space="preserve"> De acordo com o art. 136 do ECA, o</w:t>
      </w:r>
      <w:r w:rsidRPr="00073182">
        <w:rPr>
          <w:rFonts w:ascii="Arial" w:hAnsi="Arial" w:cs="Arial"/>
          <w:sz w:val="24"/>
          <w:szCs w:val="24"/>
        </w:rPr>
        <w:t xml:space="preserve">s deveres do Conselho Tutelar incluem: 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9B4852" w:rsidRPr="00172E42">
        <w:rPr>
          <w:rFonts w:ascii="Arial" w:hAnsi="Arial" w:cs="Arial"/>
          <w:sz w:val="24"/>
          <w:szCs w:val="24"/>
        </w:rPr>
        <w:t>tendimento de crianças e adolescentes e aplicação de medi</w:t>
      </w:r>
      <w:r w:rsidR="00A22573" w:rsidRPr="00172E42">
        <w:rPr>
          <w:rFonts w:ascii="Arial" w:hAnsi="Arial" w:cs="Arial"/>
          <w:sz w:val="24"/>
          <w:szCs w:val="24"/>
        </w:rPr>
        <w:t xml:space="preserve">das de </w:t>
      </w:r>
      <w:proofErr w:type="gramStart"/>
      <w:r w:rsidR="00A22573" w:rsidRPr="00172E42">
        <w:rPr>
          <w:rFonts w:ascii="Arial" w:hAnsi="Arial" w:cs="Arial"/>
          <w:sz w:val="24"/>
          <w:szCs w:val="24"/>
        </w:rPr>
        <w:t>proteção</w:t>
      </w:r>
      <w:proofErr w:type="gramEnd"/>
      <w:r w:rsidR="00A22573" w:rsidRPr="00172E42">
        <w:rPr>
          <w:rFonts w:ascii="Arial" w:hAnsi="Arial" w:cs="Arial"/>
          <w:sz w:val="24"/>
          <w:szCs w:val="24"/>
        </w:rPr>
        <w:t>; atendimento e aconselhamento de pais ou responsáveis e aplicação de medidas previstas no ECA;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A22573" w:rsidRPr="00172E42">
        <w:rPr>
          <w:rFonts w:ascii="Arial" w:hAnsi="Arial" w:cs="Arial"/>
          <w:sz w:val="24"/>
          <w:szCs w:val="24"/>
        </w:rPr>
        <w:t>romoção da execução de suas decisões, podendo requisitar serviços públicos e entrar na Justiça em caso de descumprimento de suas decisões;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A22573" w:rsidRPr="00172E42">
        <w:rPr>
          <w:rFonts w:ascii="Arial" w:hAnsi="Arial" w:cs="Arial"/>
          <w:sz w:val="24"/>
          <w:szCs w:val="24"/>
        </w:rPr>
        <w:t>ncaminhamento ao Ministério Público notícia de fato que constitua infração contra os direitos da criança ou adolescente;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</w:t>
      </w:r>
      <w:r w:rsidR="00A22573" w:rsidRPr="00172E42">
        <w:rPr>
          <w:rFonts w:ascii="Arial" w:hAnsi="Arial" w:cs="Arial"/>
          <w:sz w:val="24"/>
          <w:szCs w:val="24"/>
        </w:rPr>
        <w:t>ncaminhamento ao setor judiciário casos que lhe são pertinentes; tomada de providência para cumprimento de medidas socioeducativas aplicadas pela Justiça a adolescentes infratores;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475ADA" w:rsidRPr="00172E42">
        <w:rPr>
          <w:rFonts w:ascii="Arial" w:hAnsi="Arial" w:cs="Arial"/>
          <w:sz w:val="24"/>
          <w:szCs w:val="24"/>
        </w:rPr>
        <w:t>xpedição de notificações;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475ADA" w:rsidRPr="00172E42">
        <w:rPr>
          <w:rFonts w:ascii="Arial" w:hAnsi="Arial" w:cs="Arial"/>
          <w:sz w:val="24"/>
          <w:szCs w:val="24"/>
        </w:rPr>
        <w:t>equisição de certidões de nascimento e de óbito de crianças e adolescentes quando necessário;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475ADA" w:rsidRPr="00172E42">
        <w:rPr>
          <w:rFonts w:ascii="Arial" w:hAnsi="Arial" w:cs="Arial"/>
          <w:sz w:val="24"/>
          <w:szCs w:val="24"/>
        </w:rPr>
        <w:t>ssessorar o Poder Executivo local na elaboração de proposta para planos e programas de atendimento dos direitos da criança e do adolescente; representar pessoas ou famílias, na Justiça, a fim de que estas possam se defender de programas de rádio ou televisão, produtos, práticas e serviços que contrariem princípios constitucionais e sejam nocivos à saúde e ao meio ambiente;</w:t>
      </w:r>
    </w:p>
    <w:p w:rsidR="00172E42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475ADA" w:rsidRPr="00172E42">
        <w:rPr>
          <w:rFonts w:ascii="Arial" w:hAnsi="Arial" w:cs="Arial"/>
          <w:sz w:val="24"/>
          <w:szCs w:val="24"/>
        </w:rPr>
        <w:t>nformar o Ministério Público de casos que demandem ações judiciais de perda ou suspensão de poder pátrio;</w:t>
      </w:r>
    </w:p>
    <w:p w:rsidR="00BB6639" w:rsidRPr="00172E42" w:rsidRDefault="00172E42" w:rsidP="00172E4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BC081A" w:rsidRPr="00172E42">
        <w:rPr>
          <w:rFonts w:ascii="Arial" w:hAnsi="Arial" w:cs="Arial"/>
          <w:sz w:val="24"/>
          <w:szCs w:val="24"/>
        </w:rPr>
        <w:t>iscalização de entidades governamentais e não-governamentais quanto à execução de programas</w:t>
      </w:r>
      <w:r w:rsidRPr="00172E42">
        <w:rPr>
          <w:rFonts w:ascii="Arial" w:hAnsi="Arial" w:cs="Arial"/>
          <w:sz w:val="24"/>
          <w:szCs w:val="24"/>
        </w:rPr>
        <w:t xml:space="preserve"> de proteção e socioeducativos.</w:t>
      </w:r>
    </w:p>
    <w:p w:rsidR="00C800A1" w:rsidRDefault="00BC081A" w:rsidP="00073182">
      <w:pPr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ab/>
      </w:r>
      <w:r w:rsidR="00431CA3">
        <w:rPr>
          <w:rFonts w:ascii="Arial" w:hAnsi="Arial" w:cs="Arial"/>
          <w:sz w:val="24"/>
          <w:szCs w:val="24"/>
        </w:rPr>
        <w:t>Crimes cometidos por indivíduos entre 12 e 18 anos são denominados atos infracionais e, por conseguinte, tais indivíduos recebem a alcunha de “jovens infratores”</w:t>
      </w:r>
      <w:r w:rsidR="007B51CE">
        <w:rPr>
          <w:rFonts w:ascii="Arial" w:hAnsi="Arial" w:cs="Arial"/>
          <w:sz w:val="24"/>
          <w:szCs w:val="24"/>
        </w:rPr>
        <w:t xml:space="preserve"> ou “menores infratores”</w:t>
      </w:r>
      <w:r w:rsidR="00431CA3">
        <w:rPr>
          <w:rFonts w:ascii="Arial" w:hAnsi="Arial" w:cs="Arial"/>
          <w:sz w:val="24"/>
          <w:szCs w:val="24"/>
        </w:rPr>
        <w:t xml:space="preserve"> e são elegíveis para aplicação de medidas socioeducativas</w:t>
      </w:r>
      <w:r w:rsidR="00C800A1">
        <w:rPr>
          <w:rFonts w:ascii="Arial" w:hAnsi="Arial" w:cs="Arial"/>
          <w:sz w:val="24"/>
          <w:szCs w:val="24"/>
        </w:rPr>
        <w:t xml:space="preserve"> e protetivas.</w:t>
      </w:r>
    </w:p>
    <w:p w:rsidR="00BC081A" w:rsidRDefault="00C800A1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Embora os menores de 18 anos sejam penalmente inimputáveis, estes respondem pelo ato infracional e podem se sujeitar a medidas protetivas de encaminhamento aos pais ou responsável, orientação, apoio e acompanhamento, matrícula e frequência em escola, fornecimento de auxílio à família, tratamento médico, psicológico ou psiquiátrico, abrigo, tratamento psicológico e, em último caso, colocação em família substituta </w:t>
      </w:r>
      <w:r w:rsidRPr="00073182">
        <w:rPr>
          <w:rFonts w:ascii="Arial" w:hAnsi="Arial" w:cs="Arial"/>
          <w:sz w:val="24"/>
          <w:szCs w:val="24"/>
        </w:rPr>
        <w:t>(VIEGAS; RABELO, 2011).</w:t>
      </w:r>
    </w:p>
    <w:p w:rsidR="00172E42" w:rsidRDefault="00C800A1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adolescente entre 12 e 18 anos que pratica algum ato infracional pode se sujeitar a, além </w:t>
      </w:r>
      <w:r w:rsidR="00C7754D">
        <w:rPr>
          <w:rFonts w:ascii="Arial" w:hAnsi="Arial" w:cs="Arial"/>
          <w:sz w:val="24"/>
          <w:szCs w:val="24"/>
        </w:rPr>
        <w:t>de medidas protetivas, medidas socioeducativas que variam de acordo com as circunstâncias da infração, como gravidade e capacidade do infrator. Entre elas: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C7754D" w:rsidRPr="00172E42">
        <w:rPr>
          <w:rFonts w:ascii="Arial" w:hAnsi="Arial" w:cs="Arial"/>
          <w:sz w:val="24"/>
          <w:szCs w:val="24"/>
        </w:rPr>
        <w:t>dvertência – denominada admoestação verbal, termo escrito assinado pelo infrator; obrigação de reparo de dano;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C7754D" w:rsidRPr="00172E42">
        <w:rPr>
          <w:rFonts w:ascii="Arial" w:hAnsi="Arial" w:cs="Arial"/>
          <w:sz w:val="24"/>
          <w:szCs w:val="24"/>
        </w:rPr>
        <w:t>res</w:t>
      </w:r>
      <w:r w:rsidRPr="00172E42">
        <w:rPr>
          <w:rFonts w:ascii="Arial" w:hAnsi="Arial" w:cs="Arial"/>
          <w:sz w:val="24"/>
          <w:szCs w:val="24"/>
        </w:rPr>
        <w:t>tação de serviços à comunidade;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7754D" w:rsidRPr="00172E42">
        <w:rPr>
          <w:rFonts w:ascii="Arial" w:hAnsi="Arial" w:cs="Arial"/>
          <w:sz w:val="24"/>
          <w:szCs w:val="24"/>
        </w:rPr>
        <w:t xml:space="preserve">iberdade assistida – consiste na atuação conjunta da família </w:t>
      </w:r>
      <w:r w:rsidRPr="00172E42">
        <w:rPr>
          <w:rFonts w:ascii="Arial" w:hAnsi="Arial" w:cs="Arial"/>
          <w:sz w:val="24"/>
          <w:szCs w:val="24"/>
        </w:rPr>
        <w:t>e profissionais da área social;</w:t>
      </w:r>
    </w:p>
    <w:p w:rsidR="00172E42" w:rsidRP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C7754D" w:rsidRPr="00172E42">
        <w:rPr>
          <w:rFonts w:ascii="Arial" w:hAnsi="Arial" w:cs="Arial"/>
          <w:sz w:val="24"/>
          <w:szCs w:val="24"/>
        </w:rPr>
        <w:t>emiliberdade – limitação das a</w:t>
      </w:r>
      <w:r w:rsidRPr="00172E42">
        <w:rPr>
          <w:rFonts w:ascii="Arial" w:hAnsi="Arial" w:cs="Arial"/>
          <w:sz w:val="24"/>
          <w:szCs w:val="24"/>
        </w:rPr>
        <w:t>tividades noturnas do infrator;</w:t>
      </w:r>
    </w:p>
    <w:p w:rsidR="00172E42" w:rsidRDefault="00172E42" w:rsidP="00172E42">
      <w:pPr>
        <w:pStyle w:val="ListParagraph"/>
        <w:numPr>
          <w:ilvl w:val="0"/>
          <w:numId w:val="2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C7754D" w:rsidRPr="00172E42">
        <w:rPr>
          <w:rFonts w:ascii="Arial" w:hAnsi="Arial" w:cs="Arial"/>
          <w:sz w:val="24"/>
          <w:szCs w:val="24"/>
        </w:rPr>
        <w:t>nternação por tempo indeterminado.</w:t>
      </w:r>
    </w:p>
    <w:p w:rsidR="007B51CE" w:rsidRDefault="007B51CE" w:rsidP="007B51CE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especial, entidades que desenvolvem programas de internação devem:</w:t>
      </w:r>
    </w:p>
    <w:p w:rsid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Observação dos direitos e garantias reservadas aos adolescentes;</w:t>
      </w:r>
    </w:p>
    <w:p w:rsid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restrição de direitos que não tenham sido negados na decisão de internação;</w:t>
      </w:r>
    </w:p>
    <w:p w:rsid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Preservação da identidade e fornecimento de ambiente de respeito e dignidade ao adolescente;</w:t>
      </w:r>
    </w:p>
    <w:p w:rsid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Diligência no restabelecimento e preservação dos vínculos familiares;</w:t>
      </w:r>
    </w:p>
    <w:p w:rsid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Oferecimento de instalações físicas adequadas, além de toda a infraestrutura no âmbito da saúde, educação, lazer e cultura do adolescente;</w:t>
      </w:r>
    </w:p>
    <w:p w:rsidR="007B51CE" w:rsidRPr="007B51CE" w:rsidRDefault="007B51CE" w:rsidP="007B51CE">
      <w:pPr>
        <w:pStyle w:val="ListParagraph"/>
        <w:numPr>
          <w:ilvl w:val="0"/>
          <w:numId w:val="3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Reavaliação periódica de cada caso, com um intervalo mínimo de seis meses, certificando-se ciente dos resultados.</w:t>
      </w:r>
    </w:p>
    <w:p w:rsidR="00C800A1" w:rsidRDefault="00C7754D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Usualmente, a aplicação das medidas socioeducativas se estende até </w:t>
      </w:r>
      <w:r w:rsidR="00792F71">
        <w:rPr>
          <w:rFonts w:ascii="Arial" w:hAnsi="Arial" w:cs="Arial"/>
          <w:sz w:val="24"/>
          <w:szCs w:val="24"/>
        </w:rPr>
        <w:t xml:space="preserve">os 18 anos completos do indivíduo, porém em casos de internação – medida determinada por fortes indícios de autoria e materialidade do ato infracional -, o cumprimento da medida pode chegar aos 21 anos, segundo o art. 121, </w:t>
      </w:r>
      <w:r w:rsidR="00792F71" w:rsidRPr="00792F71">
        <w:rPr>
          <w:rFonts w:ascii="Arial" w:hAnsi="Arial" w:cs="Arial"/>
          <w:sz w:val="24"/>
          <w:szCs w:val="24"/>
        </w:rPr>
        <w:t>§</w:t>
      </w:r>
      <w:r w:rsidR="00792F71">
        <w:rPr>
          <w:rFonts w:ascii="Arial" w:hAnsi="Arial" w:cs="Arial"/>
          <w:sz w:val="24"/>
          <w:szCs w:val="24"/>
        </w:rPr>
        <w:t xml:space="preserve"> </w:t>
      </w:r>
      <w:r w:rsidR="00792F71" w:rsidRPr="00792F71">
        <w:rPr>
          <w:rFonts w:ascii="Arial" w:hAnsi="Arial" w:cs="Arial"/>
          <w:sz w:val="24"/>
          <w:szCs w:val="24"/>
        </w:rPr>
        <w:t>5º</w:t>
      </w:r>
      <w:r w:rsidR="00792F71">
        <w:rPr>
          <w:rFonts w:ascii="Arial" w:hAnsi="Arial" w:cs="Arial"/>
          <w:sz w:val="24"/>
          <w:szCs w:val="24"/>
        </w:rPr>
        <w:t xml:space="preserve"> do ECA (VIEGAS; RABELO, 2011).</w:t>
      </w:r>
    </w:p>
    <w:p w:rsidR="00792F71" w:rsidRDefault="00476432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Todavia, o chamado “jovem infrator” pode se isentar da aplicação de medidas protetivas ou socioeducativas caso o Representante do Ministério público conceda o perdão antes do processo de apuração do ato infracional. O perdão pode ser concedido a partir da análise das circunstâncias, consequências e gravidade do ato, além da personalidade e grau de participação do adolescente.</w:t>
      </w:r>
    </w:p>
    <w:p w:rsidR="00DF40AE" w:rsidRDefault="00DF40AE" w:rsidP="00DF40A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073182">
        <w:rPr>
          <w:rFonts w:ascii="Arial" w:hAnsi="Arial" w:cs="Arial"/>
          <w:sz w:val="24"/>
          <w:szCs w:val="24"/>
        </w:rPr>
        <w:t>É importante salientar que embora a adolescência é historicamente vista como um período de “tempestade e tormenta” psicológicas, muitas vezes a problemática do adolescente está centralizada na indeterminação de seu lugar no universo social (AVILA, 2005). A família em seu sentido mais abrangente é certamente importante para a formação do jovem – a desestruturação familiar é um peso enorme a ser carregado por aquele que a presenciou. Entretanto, o jovem não fica preso dentro de sua esfera familiar por uma grande parte de sua vida, por isso a responsabilidade de sua formação deve caber também à sociedade em geral e a políticas públicas (</w:t>
      </w:r>
      <w:r>
        <w:rPr>
          <w:rFonts w:ascii="Arial" w:hAnsi="Arial" w:cs="Arial"/>
          <w:sz w:val="24"/>
          <w:szCs w:val="24"/>
        </w:rPr>
        <w:t>COSTA, 2004</w:t>
      </w:r>
      <w:r w:rsidRPr="00073182">
        <w:rPr>
          <w:rFonts w:ascii="Arial" w:hAnsi="Arial" w:cs="Arial"/>
          <w:sz w:val="24"/>
          <w:szCs w:val="24"/>
        </w:rPr>
        <w:t>).</w:t>
      </w:r>
    </w:p>
    <w:p w:rsidR="000A4EA0" w:rsidRDefault="000A4EA0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AVILA, S. de F. O.</w:t>
      </w:r>
      <w:r w:rsidRPr="00792F71">
        <w:rPr>
          <w:rFonts w:ascii="Arial" w:hAnsi="Arial" w:cs="Arial"/>
          <w:sz w:val="24"/>
          <w:szCs w:val="24"/>
        </w:rPr>
        <w:t xml:space="preserve"> de. </w:t>
      </w:r>
      <w:r w:rsidRPr="004C1331">
        <w:rPr>
          <w:rFonts w:ascii="Arial" w:hAnsi="Arial" w:cs="Arial"/>
          <w:b/>
          <w:bCs/>
          <w:sz w:val="24"/>
          <w:szCs w:val="24"/>
        </w:rPr>
        <w:t xml:space="preserve">A adolescência como ideal </w:t>
      </w:r>
      <w:proofErr w:type="gramStart"/>
      <w:r w:rsidRPr="004C1331">
        <w:rPr>
          <w:rFonts w:ascii="Arial" w:hAnsi="Arial" w:cs="Arial"/>
          <w:b/>
          <w:bCs/>
          <w:sz w:val="24"/>
          <w:szCs w:val="24"/>
        </w:rPr>
        <w:t>social</w:t>
      </w:r>
      <w:r w:rsidRPr="00792F71">
        <w:rPr>
          <w:rFonts w:ascii="Arial" w:hAnsi="Arial" w:cs="Arial"/>
          <w:sz w:val="24"/>
          <w:szCs w:val="24"/>
        </w:rPr>
        <w:t>..</w:t>
      </w:r>
      <w:proofErr w:type="gramEnd"/>
      <w:r w:rsidRPr="00792F71">
        <w:rPr>
          <w:rFonts w:ascii="Arial" w:hAnsi="Arial" w:cs="Arial"/>
          <w:sz w:val="24"/>
          <w:szCs w:val="24"/>
        </w:rPr>
        <w:t xml:space="preserve"> In: SIMPOSIO INTERNACIONAL DO ADOLESCENTE, </w:t>
      </w:r>
      <w:proofErr w:type="gramStart"/>
      <w:r w:rsidRPr="00792F71">
        <w:rPr>
          <w:rFonts w:ascii="Arial" w:hAnsi="Arial" w:cs="Arial"/>
          <w:sz w:val="24"/>
          <w:szCs w:val="24"/>
        </w:rPr>
        <w:t>2.,</w:t>
      </w:r>
      <w:proofErr w:type="gramEnd"/>
      <w:r w:rsidRPr="00792F71">
        <w:rPr>
          <w:rFonts w:ascii="Arial" w:hAnsi="Arial" w:cs="Arial"/>
          <w:sz w:val="24"/>
          <w:szCs w:val="24"/>
        </w:rPr>
        <w:t xml:space="preserve"> 2005, São Paulo. </w:t>
      </w:r>
      <w:r w:rsidRPr="00A9327E">
        <w:rPr>
          <w:rFonts w:ascii="Arial" w:hAnsi="Arial" w:cs="Arial"/>
          <w:sz w:val="24"/>
          <w:szCs w:val="24"/>
          <w:lang w:val="en-US"/>
        </w:rPr>
        <w:t xml:space="preserve">Proceedings online... Available from: &lt;http://www.proceedings.scielo.br/scielo.php?script=sci_arttext&amp;pid=MSC0000000082005000200008&amp;lng=en&amp;nrm=abn&gt;. </w:t>
      </w:r>
      <w:proofErr w:type="spellStart"/>
      <w:r w:rsidRPr="00792F71">
        <w:rPr>
          <w:rFonts w:ascii="Arial" w:hAnsi="Arial" w:cs="Arial"/>
          <w:sz w:val="24"/>
          <w:szCs w:val="24"/>
        </w:rPr>
        <w:t>Acess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F71">
        <w:rPr>
          <w:rFonts w:ascii="Arial" w:hAnsi="Arial" w:cs="Arial"/>
          <w:sz w:val="24"/>
          <w:szCs w:val="24"/>
        </w:rPr>
        <w:t>on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: 04 </w:t>
      </w:r>
      <w:proofErr w:type="gramStart"/>
      <w:r w:rsidRPr="00792F71">
        <w:rPr>
          <w:rFonts w:ascii="Arial" w:hAnsi="Arial" w:cs="Arial"/>
          <w:sz w:val="24"/>
          <w:szCs w:val="24"/>
        </w:rPr>
        <w:t>Nov.</w:t>
      </w:r>
      <w:proofErr w:type="gramEnd"/>
      <w:r w:rsidRPr="00792F71">
        <w:rPr>
          <w:rFonts w:ascii="Arial" w:hAnsi="Arial" w:cs="Arial"/>
          <w:sz w:val="24"/>
          <w:szCs w:val="24"/>
        </w:rPr>
        <w:t xml:space="preserve"> 2015.</w:t>
      </w:r>
    </w:p>
    <w:p w:rsidR="000A4EA0" w:rsidRPr="00792F71" w:rsidRDefault="000A4EA0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t xml:space="preserve">BRASIL. </w:t>
      </w:r>
      <w:r w:rsidRPr="004C1331">
        <w:rPr>
          <w:rFonts w:ascii="Arial" w:hAnsi="Arial" w:cs="Arial"/>
          <w:b/>
          <w:bCs/>
          <w:sz w:val="24"/>
          <w:szCs w:val="24"/>
        </w:rPr>
        <w:t>Constituição Federativa da República do Brasil de 05 de outubro de 1998</w:t>
      </w:r>
      <w:r w:rsidRPr="00792F71">
        <w:rPr>
          <w:rFonts w:ascii="Arial" w:hAnsi="Arial" w:cs="Arial"/>
          <w:sz w:val="24"/>
          <w:szCs w:val="24"/>
        </w:rPr>
        <w:t>.</w:t>
      </w:r>
    </w:p>
    <w:p w:rsidR="000A4EA0" w:rsidRDefault="000A4EA0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t xml:space="preserve">BRASIL. </w:t>
      </w:r>
      <w:r w:rsidRPr="004C1331">
        <w:rPr>
          <w:rFonts w:ascii="Arial" w:hAnsi="Arial" w:cs="Arial"/>
          <w:b/>
          <w:bCs/>
          <w:sz w:val="24"/>
          <w:szCs w:val="24"/>
        </w:rPr>
        <w:t>Lei nº 8.069/90</w:t>
      </w:r>
      <w:r w:rsidRPr="004C1331">
        <w:rPr>
          <w:rFonts w:ascii="Arial" w:hAnsi="Arial" w:cs="Arial"/>
          <w:sz w:val="24"/>
          <w:szCs w:val="24"/>
        </w:rPr>
        <w:t>.</w:t>
      </w:r>
      <w:r w:rsidRPr="004C1331">
        <w:rPr>
          <w:rFonts w:ascii="Arial" w:hAnsi="Arial" w:cs="Arial"/>
          <w:b/>
          <w:bCs/>
          <w:sz w:val="24"/>
          <w:szCs w:val="24"/>
        </w:rPr>
        <w:t xml:space="preserve"> Dispõe sobre o Estatuto da Criança e do Adolescente e dá outras providências</w:t>
      </w:r>
      <w:r w:rsidRPr="00792F71">
        <w:rPr>
          <w:rFonts w:ascii="Arial" w:hAnsi="Arial" w:cs="Arial"/>
          <w:sz w:val="24"/>
          <w:szCs w:val="24"/>
        </w:rPr>
        <w:t>. Senado Federal, Brasília, 2011.</w:t>
      </w:r>
    </w:p>
    <w:p w:rsidR="000A4EA0" w:rsidRDefault="000A4EA0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COSTA, J. F</w:t>
      </w:r>
      <w:r w:rsidRPr="00DC696A">
        <w:rPr>
          <w:rFonts w:ascii="Arial" w:hAnsi="Arial" w:cs="Arial"/>
          <w:sz w:val="24"/>
          <w:szCs w:val="24"/>
        </w:rPr>
        <w:t xml:space="preserve">. </w:t>
      </w:r>
      <w:r w:rsidRPr="00DC696A">
        <w:rPr>
          <w:rFonts w:ascii="Arial" w:hAnsi="Arial" w:cs="Arial"/>
          <w:b/>
          <w:bCs/>
          <w:sz w:val="24"/>
          <w:szCs w:val="24"/>
        </w:rPr>
        <w:t>Ordem médica e norma familiar</w:t>
      </w:r>
      <w:r w:rsidRPr="00DC696A">
        <w:rPr>
          <w:rFonts w:ascii="Arial" w:hAnsi="Arial" w:cs="Arial"/>
          <w:sz w:val="24"/>
          <w:szCs w:val="24"/>
        </w:rPr>
        <w:t>. Rio de Janeiro: Edições Graal, 1998.</w:t>
      </w:r>
    </w:p>
    <w:p w:rsidR="000A4EA0" w:rsidRDefault="000A4EA0" w:rsidP="00C800A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792F71">
        <w:rPr>
          <w:rFonts w:ascii="Arial" w:hAnsi="Arial" w:cs="Arial"/>
          <w:sz w:val="24"/>
          <w:szCs w:val="24"/>
        </w:rPr>
        <w:t xml:space="preserve">COSTA, </w:t>
      </w:r>
      <w:r>
        <w:rPr>
          <w:rFonts w:ascii="Arial" w:hAnsi="Arial" w:cs="Arial"/>
          <w:sz w:val="24"/>
          <w:szCs w:val="24"/>
        </w:rPr>
        <w:t>T. J. M</w:t>
      </w:r>
      <w:r w:rsidRPr="00792F71">
        <w:rPr>
          <w:rFonts w:ascii="Arial" w:hAnsi="Arial" w:cs="Arial"/>
          <w:sz w:val="24"/>
          <w:szCs w:val="24"/>
        </w:rPr>
        <w:t xml:space="preserve">. </w:t>
      </w:r>
      <w:r w:rsidRPr="004C1331">
        <w:rPr>
          <w:rFonts w:ascii="Arial" w:hAnsi="Arial" w:cs="Arial"/>
          <w:b/>
          <w:bCs/>
          <w:sz w:val="24"/>
          <w:szCs w:val="24"/>
        </w:rPr>
        <w:t>Estatuto da Criança e do Adolescente comentado</w:t>
      </w:r>
      <w:r w:rsidRPr="00792F71">
        <w:rPr>
          <w:rFonts w:ascii="Arial" w:hAnsi="Arial" w:cs="Arial"/>
          <w:sz w:val="24"/>
          <w:szCs w:val="24"/>
        </w:rPr>
        <w:t>. Belo Horizonte: Del Rey, 2004.</w:t>
      </w:r>
    </w:p>
    <w:p w:rsidR="000A4EA0" w:rsidRDefault="000A4EA0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GEBELUKA, R. A. D</w:t>
      </w:r>
      <w:r w:rsidRPr="00BB4455">
        <w:rPr>
          <w:rFonts w:ascii="Arial" w:hAnsi="Arial" w:cs="Arial"/>
          <w:sz w:val="24"/>
          <w:szCs w:val="24"/>
        </w:rPr>
        <w:t xml:space="preserve">. </w:t>
      </w:r>
      <w:r w:rsidRPr="00BB4455">
        <w:rPr>
          <w:rFonts w:ascii="Arial" w:hAnsi="Arial" w:cs="Arial"/>
          <w:b/>
          <w:bCs/>
          <w:sz w:val="24"/>
          <w:szCs w:val="24"/>
        </w:rPr>
        <w:t xml:space="preserve">Configuração e atribuições do Conselho Tutelar e sua expressão na realidade </w:t>
      </w:r>
      <w:proofErr w:type="spellStart"/>
      <w:r w:rsidRPr="00BB4455">
        <w:rPr>
          <w:rFonts w:ascii="Arial" w:hAnsi="Arial" w:cs="Arial"/>
          <w:b/>
          <w:bCs/>
          <w:sz w:val="24"/>
          <w:szCs w:val="24"/>
        </w:rPr>
        <w:t>pontagrossense</w:t>
      </w:r>
      <w:proofErr w:type="spellEnd"/>
      <w:r w:rsidRPr="00BB4455">
        <w:rPr>
          <w:rFonts w:ascii="Arial" w:hAnsi="Arial" w:cs="Arial"/>
          <w:sz w:val="24"/>
          <w:szCs w:val="24"/>
        </w:rPr>
        <w:t xml:space="preserve">. Dissertação (Mestrado). </w:t>
      </w:r>
      <w:r w:rsidRPr="00BB4455">
        <w:rPr>
          <w:rFonts w:ascii="Arial" w:hAnsi="Arial" w:cs="Arial"/>
          <w:sz w:val="24"/>
          <w:szCs w:val="24"/>
        </w:rPr>
        <w:lastRenderedPageBreak/>
        <w:t>Universidade Estadual de Ponta Grossa. Disponível em: &lt;www.bicen-tede.uepg.br/</w:t>
      </w:r>
      <w:proofErr w:type="spellStart"/>
      <w:r w:rsidRPr="00BB4455">
        <w:rPr>
          <w:rFonts w:ascii="Arial" w:hAnsi="Arial" w:cs="Arial"/>
          <w:sz w:val="24"/>
          <w:szCs w:val="24"/>
        </w:rPr>
        <w:t>tde_busca</w:t>
      </w:r>
      <w:proofErr w:type="spellEnd"/>
      <w:r w:rsidRPr="00BB4455">
        <w:rPr>
          <w:rFonts w:ascii="Arial" w:hAnsi="Arial" w:cs="Arial"/>
          <w:sz w:val="24"/>
          <w:szCs w:val="24"/>
        </w:rPr>
        <w:t>/</w:t>
      </w:r>
      <w:proofErr w:type="spellStart"/>
      <w:r w:rsidRPr="00BB4455">
        <w:rPr>
          <w:rFonts w:ascii="Arial" w:hAnsi="Arial" w:cs="Arial"/>
          <w:sz w:val="24"/>
          <w:szCs w:val="24"/>
        </w:rPr>
        <w:t>arquivo.ph</w:t>
      </w:r>
      <w:r>
        <w:rPr>
          <w:rFonts w:ascii="Arial" w:hAnsi="Arial" w:cs="Arial"/>
          <w:sz w:val="24"/>
          <w:szCs w:val="24"/>
        </w:rPr>
        <w:t>p?codArquivo</w:t>
      </w:r>
      <w:proofErr w:type="spellEnd"/>
      <w:r>
        <w:rPr>
          <w:rFonts w:ascii="Arial" w:hAnsi="Arial" w:cs="Arial"/>
          <w:sz w:val="24"/>
          <w:szCs w:val="24"/>
        </w:rPr>
        <w:t>=272&gt;. Acesso em: 05 nov. 2015</w:t>
      </w:r>
      <w:r w:rsidRPr="00BB4455">
        <w:rPr>
          <w:rFonts w:ascii="Arial" w:hAnsi="Arial" w:cs="Arial"/>
          <w:sz w:val="24"/>
          <w:szCs w:val="24"/>
        </w:rPr>
        <w:t>.</w:t>
      </w:r>
    </w:p>
    <w:p w:rsidR="000A4EA0" w:rsidRDefault="000A4EA0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LIMA, J. de D. A. de; MINADEO, R.</w:t>
      </w:r>
      <w:r w:rsidRPr="004C1331">
        <w:rPr>
          <w:rFonts w:ascii="Arial" w:hAnsi="Arial" w:cs="Arial"/>
          <w:sz w:val="24"/>
          <w:szCs w:val="24"/>
        </w:rPr>
        <w:t xml:space="preserve"> </w:t>
      </w:r>
      <w:r w:rsidRPr="004C1331">
        <w:rPr>
          <w:rFonts w:ascii="Arial" w:hAnsi="Arial" w:cs="Arial"/>
          <w:b/>
          <w:bCs/>
          <w:sz w:val="24"/>
          <w:szCs w:val="24"/>
        </w:rPr>
        <w:t>Ressocialização de menores infratores</w:t>
      </w:r>
      <w:r w:rsidRPr="004C1331">
        <w:rPr>
          <w:rFonts w:ascii="Arial" w:hAnsi="Arial" w:cs="Arial"/>
          <w:sz w:val="24"/>
          <w:szCs w:val="24"/>
        </w:rPr>
        <w:t xml:space="preserve">: Considerações críticas sobre as medidas socioeducativas de internação. </w:t>
      </w:r>
      <w:r>
        <w:rPr>
          <w:rFonts w:ascii="Arial" w:hAnsi="Arial" w:cs="Arial"/>
          <w:sz w:val="24"/>
          <w:szCs w:val="24"/>
        </w:rPr>
        <w:t>Revista Liberdades</w:t>
      </w:r>
      <w:r w:rsidRPr="004C133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São Paulo</w:t>
      </w:r>
      <w:r w:rsidRPr="004C133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nº 10</w:t>
      </w:r>
      <w:r w:rsidRPr="004C133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ago. 2012</w:t>
      </w:r>
      <w:r w:rsidRPr="004C1331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Disponível em: &lt;</w:t>
      </w:r>
      <w:r w:rsidRPr="001D0754">
        <w:rPr>
          <w:rFonts w:ascii="Arial" w:hAnsi="Arial" w:cs="Arial"/>
          <w:sz w:val="24"/>
          <w:szCs w:val="24"/>
        </w:rPr>
        <w:t>http://www.revistaliberdades.org.br/_upload/pdf/12/artigo3.pdf</w:t>
      </w:r>
      <w:r>
        <w:rPr>
          <w:rFonts w:ascii="Arial" w:hAnsi="Arial" w:cs="Arial"/>
          <w:sz w:val="24"/>
          <w:szCs w:val="24"/>
        </w:rPr>
        <w:t>&gt;.</w:t>
      </w:r>
      <w:r w:rsidRPr="001D0754">
        <w:rPr>
          <w:rFonts w:ascii="Arial" w:hAnsi="Arial" w:cs="Arial"/>
          <w:sz w:val="24"/>
          <w:szCs w:val="24"/>
        </w:rPr>
        <w:t xml:space="preserve"> </w:t>
      </w:r>
      <w:r w:rsidRPr="004C1331">
        <w:rPr>
          <w:rFonts w:ascii="Arial" w:hAnsi="Arial" w:cs="Arial"/>
          <w:sz w:val="24"/>
          <w:szCs w:val="24"/>
        </w:rPr>
        <w:t>Data de acesso:</w:t>
      </w:r>
      <w:r>
        <w:rPr>
          <w:rFonts w:ascii="Arial" w:hAnsi="Arial" w:cs="Arial"/>
          <w:sz w:val="24"/>
          <w:szCs w:val="24"/>
        </w:rPr>
        <w:t xml:space="preserve"> 05 nov. 2015.</w:t>
      </w:r>
    </w:p>
    <w:p w:rsidR="000A4EA0" w:rsidRDefault="000A4EA0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MARTINS, D. C.</w:t>
      </w:r>
      <w:r w:rsidRPr="00DF40AE">
        <w:rPr>
          <w:rFonts w:ascii="Arial" w:hAnsi="Arial" w:cs="Arial"/>
          <w:sz w:val="24"/>
          <w:szCs w:val="24"/>
        </w:rPr>
        <w:t xml:space="preserve"> </w:t>
      </w:r>
      <w:r w:rsidRPr="004C1331">
        <w:rPr>
          <w:rFonts w:ascii="Arial" w:hAnsi="Arial" w:cs="Arial"/>
          <w:b/>
          <w:bCs/>
          <w:sz w:val="24"/>
          <w:szCs w:val="24"/>
        </w:rPr>
        <w:t xml:space="preserve">O Estatuto da Criança e do Adolescente e a política de atendimento a partir de uma perspectiva </w:t>
      </w:r>
      <w:proofErr w:type="spellStart"/>
      <w:r w:rsidRPr="004C1331">
        <w:rPr>
          <w:rFonts w:ascii="Arial" w:hAnsi="Arial" w:cs="Arial"/>
          <w:b/>
          <w:bCs/>
          <w:sz w:val="24"/>
          <w:szCs w:val="24"/>
        </w:rPr>
        <w:t>sócio-jurídica</w:t>
      </w:r>
      <w:proofErr w:type="spellEnd"/>
      <w:r w:rsidRPr="00DF40AE">
        <w:rPr>
          <w:rFonts w:ascii="Arial" w:hAnsi="Arial" w:cs="Arial"/>
          <w:sz w:val="24"/>
          <w:szCs w:val="24"/>
        </w:rPr>
        <w:t>. Revista de Iniciação Científica da FFC, v. 4, n. 1, 2004.</w:t>
      </w:r>
      <w:r>
        <w:rPr>
          <w:rFonts w:ascii="Arial" w:hAnsi="Arial" w:cs="Arial"/>
          <w:sz w:val="24"/>
          <w:szCs w:val="24"/>
        </w:rPr>
        <w:t xml:space="preserve"> </w:t>
      </w:r>
      <w:r w:rsidRPr="00DF40AE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&lt;</w:t>
      </w:r>
      <w:r w:rsidRPr="004C1331">
        <w:t xml:space="preserve"> </w:t>
      </w:r>
      <w:r w:rsidRPr="004C1331">
        <w:rPr>
          <w:rFonts w:ascii="Arial" w:hAnsi="Arial" w:cs="Arial"/>
          <w:sz w:val="24"/>
          <w:szCs w:val="24"/>
        </w:rPr>
        <w:t>http://www2.marilia.unesp.br/ojs-2.4.5/index.php/ric/article/view/71</w:t>
      </w:r>
      <w:r>
        <w:rPr>
          <w:rFonts w:ascii="Arial" w:hAnsi="Arial" w:cs="Arial"/>
          <w:sz w:val="24"/>
          <w:szCs w:val="24"/>
        </w:rPr>
        <w:t>&gt;. Acesso em: 05 nov. 2015</w:t>
      </w:r>
      <w:r w:rsidRPr="00DF40AE">
        <w:rPr>
          <w:rFonts w:ascii="Arial" w:hAnsi="Arial" w:cs="Arial"/>
          <w:sz w:val="24"/>
          <w:szCs w:val="24"/>
        </w:rPr>
        <w:t>.</w:t>
      </w:r>
    </w:p>
    <w:p w:rsidR="000A4EA0" w:rsidRPr="00073182" w:rsidRDefault="000A4EA0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C43965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ARTINS, J. de S.</w:t>
      </w:r>
      <w:r w:rsidRPr="00C43965">
        <w:rPr>
          <w:rFonts w:ascii="Arial" w:hAnsi="Arial" w:cs="Arial"/>
          <w:sz w:val="24"/>
          <w:szCs w:val="24"/>
        </w:rPr>
        <w:t xml:space="preserve"> (coord.). </w:t>
      </w:r>
      <w:r w:rsidRPr="00C43965">
        <w:rPr>
          <w:rFonts w:ascii="Arial" w:hAnsi="Arial" w:cs="Arial"/>
          <w:b/>
          <w:bCs/>
          <w:sz w:val="24"/>
          <w:szCs w:val="24"/>
        </w:rPr>
        <w:t>O massacre dos inocentes</w:t>
      </w:r>
      <w:r w:rsidRPr="00C43965">
        <w:rPr>
          <w:rFonts w:ascii="Arial" w:hAnsi="Arial" w:cs="Arial"/>
          <w:sz w:val="24"/>
          <w:szCs w:val="24"/>
        </w:rPr>
        <w:t xml:space="preserve">. A criança sem infância no Brasil. São Paulo: </w:t>
      </w:r>
      <w:proofErr w:type="spellStart"/>
      <w:r w:rsidRPr="00C43965">
        <w:rPr>
          <w:rFonts w:ascii="Arial" w:hAnsi="Arial" w:cs="Arial"/>
          <w:sz w:val="24"/>
          <w:szCs w:val="24"/>
        </w:rPr>
        <w:t>Hucitec</w:t>
      </w:r>
      <w:proofErr w:type="spellEnd"/>
      <w:r w:rsidRPr="00C43965">
        <w:rPr>
          <w:rFonts w:ascii="Arial" w:hAnsi="Arial" w:cs="Arial"/>
          <w:sz w:val="24"/>
          <w:szCs w:val="24"/>
        </w:rPr>
        <w:t>, 1993.</w:t>
      </w:r>
    </w:p>
    <w:p w:rsidR="000A4EA0" w:rsidRDefault="000A4EA0" w:rsidP="00792F7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VIEGAS, C. M. de A. R.; RABELO, C. L. de A</w:t>
      </w:r>
      <w:r w:rsidRPr="004C1331">
        <w:rPr>
          <w:rFonts w:ascii="Arial" w:hAnsi="Arial" w:cs="Arial"/>
          <w:b/>
          <w:bCs/>
          <w:sz w:val="24"/>
          <w:szCs w:val="24"/>
        </w:rPr>
        <w:t>. Principais considerações sobre o Estatuto da Criança e do Adolescente</w:t>
      </w:r>
      <w:r w:rsidRPr="00792F71">
        <w:rPr>
          <w:rFonts w:ascii="Arial" w:hAnsi="Arial" w:cs="Arial"/>
          <w:sz w:val="24"/>
          <w:szCs w:val="24"/>
        </w:rPr>
        <w:t xml:space="preserve">. In: Âmbito Jurídico, Rio Grande, XIV, n. 94, </w:t>
      </w:r>
      <w:proofErr w:type="spellStart"/>
      <w:r w:rsidRPr="00792F71">
        <w:rPr>
          <w:rFonts w:ascii="Arial" w:hAnsi="Arial" w:cs="Arial"/>
          <w:sz w:val="24"/>
          <w:szCs w:val="24"/>
        </w:rPr>
        <w:t>nov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 2011. Disponível em: &lt;http://ambito-juridico.com.br/site/?artigo_id=10593&amp;n_link=revista_artigos_leitura&gt;. Acesso em </w:t>
      </w:r>
      <w:proofErr w:type="spellStart"/>
      <w:r w:rsidRPr="00792F71">
        <w:rPr>
          <w:rFonts w:ascii="Arial" w:hAnsi="Arial" w:cs="Arial"/>
          <w:sz w:val="24"/>
          <w:szCs w:val="24"/>
        </w:rPr>
        <w:t>nov</w:t>
      </w:r>
      <w:proofErr w:type="spellEnd"/>
      <w:r w:rsidRPr="00792F71">
        <w:rPr>
          <w:rFonts w:ascii="Arial" w:hAnsi="Arial" w:cs="Arial"/>
          <w:sz w:val="24"/>
          <w:szCs w:val="24"/>
        </w:rPr>
        <w:t xml:space="preserve"> 2015.</w:t>
      </w:r>
      <w:bookmarkStart w:id="0" w:name="_GoBack"/>
      <w:bookmarkEnd w:id="0"/>
    </w:p>
    <w:sectPr w:rsidR="000A4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F39ED"/>
    <w:multiLevelType w:val="hybridMultilevel"/>
    <w:tmpl w:val="D7B02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961BF"/>
    <w:multiLevelType w:val="hybridMultilevel"/>
    <w:tmpl w:val="4F8C048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C1029E"/>
    <w:multiLevelType w:val="hybridMultilevel"/>
    <w:tmpl w:val="38DA934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CB4"/>
    <w:rsid w:val="000238FC"/>
    <w:rsid w:val="00073182"/>
    <w:rsid w:val="000A4EA0"/>
    <w:rsid w:val="00133654"/>
    <w:rsid w:val="00172E42"/>
    <w:rsid w:val="001D0754"/>
    <w:rsid w:val="00431CA3"/>
    <w:rsid w:val="00475ADA"/>
    <w:rsid w:val="00476432"/>
    <w:rsid w:val="004C1331"/>
    <w:rsid w:val="00520937"/>
    <w:rsid w:val="006E5133"/>
    <w:rsid w:val="006E622D"/>
    <w:rsid w:val="00751C51"/>
    <w:rsid w:val="00792F71"/>
    <w:rsid w:val="007B51CE"/>
    <w:rsid w:val="008D65AD"/>
    <w:rsid w:val="0098358E"/>
    <w:rsid w:val="009B4852"/>
    <w:rsid w:val="00A0792E"/>
    <w:rsid w:val="00A22573"/>
    <w:rsid w:val="00A30AE3"/>
    <w:rsid w:val="00A44CB4"/>
    <w:rsid w:val="00A9327E"/>
    <w:rsid w:val="00AC20B0"/>
    <w:rsid w:val="00BB4455"/>
    <w:rsid w:val="00BB4877"/>
    <w:rsid w:val="00BB6639"/>
    <w:rsid w:val="00BC081A"/>
    <w:rsid w:val="00C43965"/>
    <w:rsid w:val="00C7754D"/>
    <w:rsid w:val="00C800A1"/>
    <w:rsid w:val="00CE5E7A"/>
    <w:rsid w:val="00DC696A"/>
    <w:rsid w:val="00DF40AE"/>
    <w:rsid w:val="00E81D73"/>
    <w:rsid w:val="00EA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46E002-686A-4862-B5FE-75BFBE9AA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E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1911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</dc:creator>
  <cp:keywords/>
  <dc:description/>
  <cp:lastModifiedBy>Gabriel Rodrigues</cp:lastModifiedBy>
  <cp:revision>10</cp:revision>
  <dcterms:created xsi:type="dcterms:W3CDTF">2015-11-04T21:20:00Z</dcterms:created>
  <dcterms:modified xsi:type="dcterms:W3CDTF">2015-11-07T00:47:00Z</dcterms:modified>
</cp:coreProperties>
</file>