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4" w:rsidRPr="00073182" w:rsidRDefault="00A44CB4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De acordo com a lei federal 8</w:t>
      </w:r>
      <w:r w:rsidR="006E622D" w:rsidRPr="00073182">
        <w:rPr>
          <w:rFonts w:ascii="Arial" w:hAnsi="Arial" w:cs="Arial"/>
          <w:sz w:val="24"/>
          <w:szCs w:val="24"/>
        </w:rPr>
        <w:t>.</w:t>
      </w:r>
      <w:r w:rsidRPr="00073182">
        <w:rPr>
          <w:rFonts w:ascii="Arial" w:hAnsi="Arial" w:cs="Arial"/>
          <w:sz w:val="24"/>
          <w:szCs w:val="24"/>
        </w:rPr>
        <w:t>069 promulgada em 1990 denominada Estatuto da Criança e Adolescente (ECA), considera-se um indivíduo como criança aquele de até doze anos de idade incompletos e adolescente aquele entre doze e dezoito anos, salvo alguns casos excepcionais cuja idade abrange entre dezenove e vinte e um</w:t>
      </w:r>
      <w:r w:rsidR="00CE5E7A" w:rsidRPr="00073182">
        <w:rPr>
          <w:rFonts w:ascii="Arial" w:hAnsi="Arial" w:cs="Arial"/>
          <w:sz w:val="24"/>
          <w:szCs w:val="24"/>
        </w:rPr>
        <w:t xml:space="preserve"> anos</w:t>
      </w:r>
      <w:r w:rsidRPr="00073182">
        <w:rPr>
          <w:rFonts w:ascii="Arial" w:hAnsi="Arial" w:cs="Arial"/>
          <w:sz w:val="24"/>
          <w:szCs w:val="24"/>
        </w:rPr>
        <w:t xml:space="preserve"> (VIEGAS; RABELO, 2011)</w:t>
      </w:r>
      <w:r w:rsidR="00CE5E7A" w:rsidRPr="00073182">
        <w:rPr>
          <w:rFonts w:ascii="Arial" w:hAnsi="Arial" w:cs="Arial"/>
          <w:sz w:val="24"/>
          <w:szCs w:val="24"/>
        </w:rPr>
        <w:t>.</w:t>
      </w:r>
    </w:p>
    <w:p w:rsidR="00A44CB4" w:rsidRPr="00073182" w:rsidRDefault="00A44CB4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O ECA em si, por sua vez, tem como objetivo a proteção daqueles anteriormente definidos</w:t>
      </w:r>
      <w:r w:rsidR="006E622D" w:rsidRPr="00073182">
        <w:rPr>
          <w:rFonts w:ascii="Arial" w:hAnsi="Arial" w:cs="Arial"/>
          <w:sz w:val="24"/>
          <w:szCs w:val="24"/>
        </w:rPr>
        <w:t xml:space="preserve"> como crianças e adolescentes, a fim de lhes proporcionar as condições necessárias para desenvolvimento indiv</w:t>
      </w:r>
      <w:r w:rsidR="00CE5E7A" w:rsidRPr="00073182">
        <w:rPr>
          <w:rFonts w:ascii="Arial" w:hAnsi="Arial" w:cs="Arial"/>
          <w:sz w:val="24"/>
          <w:szCs w:val="24"/>
        </w:rPr>
        <w:t>idual e social (ECA, art. 4</w:t>
      </w:r>
      <w:r w:rsidR="00BB6639" w:rsidRPr="00073182">
        <w:rPr>
          <w:rFonts w:ascii="Arial" w:hAnsi="Arial" w:cs="Arial"/>
          <w:sz w:val="24"/>
          <w:szCs w:val="24"/>
        </w:rPr>
        <w:t>, parágrafo único</w:t>
      </w:r>
      <w:r w:rsidR="006E622D" w:rsidRPr="00073182">
        <w:rPr>
          <w:rFonts w:ascii="Arial" w:hAnsi="Arial" w:cs="Arial"/>
          <w:sz w:val="24"/>
          <w:szCs w:val="24"/>
        </w:rPr>
        <w:t>). O estatutário atribui a responsabilidade de fornecimento de tais condições</w:t>
      </w:r>
      <w:r w:rsidR="00CE5E7A" w:rsidRPr="00073182">
        <w:rPr>
          <w:rFonts w:ascii="Arial" w:hAnsi="Arial" w:cs="Arial"/>
          <w:sz w:val="24"/>
          <w:szCs w:val="24"/>
        </w:rPr>
        <w:t xml:space="preserve"> à instituição familiar e ao Estado</w:t>
      </w:r>
      <w:r w:rsidR="006E622D" w:rsidRPr="00073182">
        <w:rPr>
          <w:rFonts w:ascii="Arial" w:hAnsi="Arial" w:cs="Arial"/>
          <w:sz w:val="24"/>
          <w:szCs w:val="24"/>
        </w:rPr>
        <w:t xml:space="preserve">, tendo o posterior como responsabilidades especiais o sustento, guarda e educação, sob pena de perda caso alegada a carência de recursos </w:t>
      </w:r>
      <w:r w:rsidR="00CE5E7A" w:rsidRPr="00073182">
        <w:rPr>
          <w:rFonts w:ascii="Arial" w:hAnsi="Arial" w:cs="Arial"/>
          <w:sz w:val="24"/>
          <w:szCs w:val="24"/>
        </w:rPr>
        <w:t>materiais; e tendo o anterior a capacidade de intervenção caso as condições em questão não sejam obtidas (VIEGAS; RABELO, 2011).</w:t>
      </w:r>
    </w:p>
    <w:p w:rsidR="00BC081A" w:rsidRPr="00073182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A fim de especificar</w:t>
      </w:r>
      <w:r w:rsidR="00476432">
        <w:rPr>
          <w:rFonts w:ascii="Arial" w:hAnsi="Arial" w:cs="Arial"/>
          <w:sz w:val="24"/>
          <w:szCs w:val="24"/>
        </w:rPr>
        <w:t xml:space="preserve"> as condições</w:t>
      </w:r>
      <w:r w:rsidR="00172E42">
        <w:rPr>
          <w:rFonts w:ascii="Arial" w:hAnsi="Arial" w:cs="Arial"/>
          <w:sz w:val="24"/>
          <w:szCs w:val="24"/>
        </w:rPr>
        <w:t xml:space="preserve"> </w:t>
      </w:r>
      <w:r w:rsidRPr="00073182">
        <w:rPr>
          <w:rFonts w:ascii="Arial" w:hAnsi="Arial" w:cs="Arial"/>
          <w:sz w:val="24"/>
          <w:szCs w:val="24"/>
        </w:rPr>
        <w:t>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</w:t>
      </w:r>
      <w:r w:rsidR="00073182" w:rsidRPr="00073182">
        <w:rPr>
          <w:rFonts w:ascii="Arial" w:hAnsi="Arial" w:cs="Arial"/>
          <w:sz w:val="24"/>
          <w:szCs w:val="24"/>
        </w:rPr>
        <w:t xml:space="preserve"> Os deveres da</w:t>
      </w:r>
      <w:r w:rsidR="00073182">
        <w:rPr>
          <w:rFonts w:ascii="Arial" w:hAnsi="Arial" w:cs="Arial"/>
          <w:sz w:val="24"/>
          <w:szCs w:val="24"/>
        </w:rPr>
        <w:t xml:space="preserve"> criança ou adolescente são exatamente os mesmos dos deveres de todo cidadão, dentro do princípio da isonomia descrito no art. 5º da Constituição brasileira de 1988.</w:t>
      </w:r>
    </w:p>
    <w:p w:rsidR="00CE5E7A" w:rsidRPr="00073182" w:rsidRDefault="00CE5E7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 xml:space="preserve">É importante salientar que embora a adolescência é historicamente vista como um período de “tempestade e tormenta” psicológicas, muitas vezes a problemática do adolescente está centralizada na indeterminação de seu lugar no universo social (AVILA, 2005). A </w:t>
      </w:r>
      <w:r w:rsidR="006E5133" w:rsidRPr="00073182">
        <w:rPr>
          <w:rFonts w:ascii="Arial" w:hAnsi="Arial" w:cs="Arial"/>
          <w:sz w:val="24"/>
          <w:szCs w:val="24"/>
        </w:rPr>
        <w:t>família em seu sentido mais abrangente</w:t>
      </w:r>
      <w:r w:rsidRPr="00073182">
        <w:rPr>
          <w:rFonts w:ascii="Arial" w:hAnsi="Arial" w:cs="Arial"/>
          <w:sz w:val="24"/>
          <w:szCs w:val="24"/>
        </w:rPr>
        <w:t xml:space="preserve"> é certamente importante para a formação do jovem </w:t>
      </w:r>
      <w:r w:rsidR="006E5133" w:rsidRPr="00073182">
        <w:rPr>
          <w:rFonts w:ascii="Arial" w:hAnsi="Arial" w:cs="Arial"/>
          <w:sz w:val="24"/>
          <w:szCs w:val="24"/>
        </w:rPr>
        <w:t>–</w:t>
      </w:r>
      <w:r w:rsidRPr="00073182">
        <w:rPr>
          <w:rFonts w:ascii="Arial" w:hAnsi="Arial" w:cs="Arial"/>
          <w:sz w:val="24"/>
          <w:szCs w:val="24"/>
        </w:rPr>
        <w:t xml:space="preserve"> </w:t>
      </w:r>
      <w:r w:rsidR="006E5133" w:rsidRPr="00073182">
        <w:rPr>
          <w:rFonts w:ascii="Arial" w:hAnsi="Arial" w:cs="Arial"/>
          <w:sz w:val="24"/>
          <w:szCs w:val="24"/>
        </w:rPr>
        <w:t xml:space="preserve">a desestruturação familiar é um peso enorme a ser carregado por aquele que a presenciou. Entretanto, o jovem não fica preso dentro de sua esfera familiar por uma grande parte de sua vida, por isso a responsabilidade de sua formação deve caber também à sociedade em </w:t>
      </w:r>
      <w:r w:rsidR="00BB6639" w:rsidRPr="00073182">
        <w:rPr>
          <w:rFonts w:ascii="Arial" w:hAnsi="Arial" w:cs="Arial"/>
          <w:sz w:val="24"/>
          <w:szCs w:val="24"/>
        </w:rPr>
        <w:t>geral e a políticas públicas (</w:t>
      </w:r>
      <w:r w:rsidR="00792F71">
        <w:rPr>
          <w:rFonts w:ascii="Arial" w:hAnsi="Arial" w:cs="Arial"/>
          <w:sz w:val="24"/>
          <w:szCs w:val="24"/>
        </w:rPr>
        <w:t>COSTA, 2004</w:t>
      </w:r>
      <w:r w:rsidR="00BB6639" w:rsidRPr="00073182">
        <w:rPr>
          <w:rFonts w:ascii="Arial" w:hAnsi="Arial" w:cs="Arial"/>
          <w:sz w:val="24"/>
          <w:szCs w:val="24"/>
        </w:rPr>
        <w:t>).</w:t>
      </w:r>
    </w:p>
    <w:p w:rsidR="00172E42" w:rsidRDefault="009B4852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 xml:space="preserve">O Conselho Tutelar é uma das entidades públicas responsáveis pela </w:t>
      </w:r>
      <w:r w:rsidR="00A22573" w:rsidRPr="00073182">
        <w:rPr>
          <w:rFonts w:ascii="Arial" w:hAnsi="Arial" w:cs="Arial"/>
          <w:sz w:val="24"/>
          <w:szCs w:val="24"/>
        </w:rPr>
        <w:t>fiscalização</w:t>
      </w:r>
      <w:r w:rsidRPr="00073182">
        <w:rPr>
          <w:rFonts w:ascii="Arial" w:hAnsi="Arial" w:cs="Arial"/>
          <w:sz w:val="24"/>
          <w:szCs w:val="24"/>
        </w:rPr>
        <w:t xml:space="preserve"> e intervenção em caso de desrespeito dos direitos da criança e adolescente previstos pelo ECA, além dos direitos e deveres.</w:t>
      </w:r>
      <w:r w:rsidR="00172E42">
        <w:rPr>
          <w:rFonts w:ascii="Arial" w:hAnsi="Arial" w:cs="Arial"/>
          <w:sz w:val="24"/>
          <w:szCs w:val="24"/>
        </w:rPr>
        <w:t xml:space="preserve"> De acordo com o art. 136 do ECA, o</w:t>
      </w:r>
      <w:r w:rsidRPr="00073182">
        <w:rPr>
          <w:rFonts w:ascii="Arial" w:hAnsi="Arial" w:cs="Arial"/>
          <w:sz w:val="24"/>
          <w:szCs w:val="24"/>
        </w:rPr>
        <w:t xml:space="preserve">s deveres do Conselho Tutelar incluem: 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B4852" w:rsidRPr="00172E42">
        <w:rPr>
          <w:rFonts w:ascii="Arial" w:hAnsi="Arial" w:cs="Arial"/>
          <w:sz w:val="24"/>
          <w:szCs w:val="24"/>
        </w:rPr>
        <w:t>tendimento de crianças e adolescentes e aplicação de medi</w:t>
      </w:r>
      <w:r w:rsidR="00A22573" w:rsidRPr="00172E42">
        <w:rPr>
          <w:rFonts w:ascii="Arial" w:hAnsi="Arial" w:cs="Arial"/>
          <w:sz w:val="24"/>
          <w:szCs w:val="24"/>
        </w:rPr>
        <w:t>das de proteção; atendimento e aconselhamento de pais ou responsáveis e aplicação de medidas previstas no ECA;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2573" w:rsidRPr="00172E42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22573" w:rsidRPr="00172E42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A22573" w:rsidRPr="00172E42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5ADA" w:rsidRPr="00172E42">
        <w:rPr>
          <w:rFonts w:ascii="Arial" w:hAnsi="Arial" w:cs="Arial"/>
          <w:sz w:val="24"/>
          <w:szCs w:val="24"/>
        </w:rPr>
        <w:t>xpedição de notificações;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75ADA" w:rsidRPr="00172E42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75ADA" w:rsidRPr="00172E42">
        <w:rPr>
          <w:rFonts w:ascii="Arial" w:hAnsi="Arial" w:cs="Arial"/>
          <w:sz w:val="24"/>
          <w:szCs w:val="24"/>
        </w:rPr>
        <w:t>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75ADA" w:rsidRPr="00172E42">
        <w:rPr>
          <w:rFonts w:ascii="Arial" w:hAnsi="Arial" w:cs="Arial"/>
          <w:sz w:val="24"/>
          <w:szCs w:val="24"/>
        </w:rPr>
        <w:t>nformar o Ministério Público de casos que demandem ações judiciais de perda ou suspensão de poder pátrio;</w:t>
      </w:r>
    </w:p>
    <w:p w:rsidR="00BB6639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C081A" w:rsidRPr="00172E42">
        <w:rPr>
          <w:rFonts w:ascii="Arial" w:hAnsi="Arial" w:cs="Arial"/>
          <w:sz w:val="24"/>
          <w:szCs w:val="24"/>
        </w:rPr>
        <w:t>iscalização de entidades governamentais e não-governamentais quanto à execução de programas</w:t>
      </w:r>
      <w:r w:rsidRPr="00172E42">
        <w:rPr>
          <w:rFonts w:ascii="Arial" w:hAnsi="Arial" w:cs="Arial"/>
          <w:sz w:val="24"/>
          <w:szCs w:val="24"/>
        </w:rPr>
        <w:t xml:space="preserve"> de proteção e socioeducativos.</w:t>
      </w:r>
    </w:p>
    <w:p w:rsidR="00C800A1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</w:r>
      <w:r w:rsidR="00431CA3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 e são elegíveis para aplicação de medidas socioeducativas</w:t>
      </w:r>
      <w:r w:rsidR="00C800A1">
        <w:rPr>
          <w:rFonts w:ascii="Arial" w:hAnsi="Arial" w:cs="Arial"/>
          <w:sz w:val="24"/>
          <w:szCs w:val="24"/>
        </w:rPr>
        <w:t xml:space="preserve"> e protetivas.</w:t>
      </w:r>
    </w:p>
    <w:p w:rsidR="00BC081A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Embora os menores de 18 anos sejam penalmente inimputáveis, estes respondem pelo ato infracional e podem se sujeitar a medidas protetivas de 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</w:t>
      </w:r>
      <w:r w:rsidRPr="00073182">
        <w:rPr>
          <w:rFonts w:ascii="Arial" w:hAnsi="Arial" w:cs="Arial"/>
          <w:sz w:val="24"/>
          <w:szCs w:val="24"/>
        </w:rPr>
        <w:t>(VIEGAS; RABELO, 2011).</w:t>
      </w:r>
    </w:p>
    <w:p w:rsidR="00172E42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adolescente entre 12 e 18 anos que pratica algum ato infracional pode se sujeitar a, além </w:t>
      </w:r>
      <w:r w:rsidR="00C7754D">
        <w:rPr>
          <w:rFonts w:ascii="Arial" w:hAnsi="Arial" w:cs="Arial"/>
          <w:sz w:val="24"/>
          <w:szCs w:val="24"/>
        </w:rPr>
        <w:t>de medidas protetivas, medidas socioeducativas que variam de acordo com as circunstâncias da infração, como gravidade e capacidade do infrator. Entre elas: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7754D" w:rsidRPr="00172E42">
        <w:rPr>
          <w:rFonts w:ascii="Arial" w:hAnsi="Arial" w:cs="Arial"/>
          <w:sz w:val="24"/>
          <w:szCs w:val="24"/>
        </w:rPr>
        <w:t>dvertência – denominada admoestação verbal, termo escrito assinado pelo infrator; obrigação de reparo de dano;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7754D" w:rsidRPr="00172E42">
        <w:rPr>
          <w:rFonts w:ascii="Arial" w:hAnsi="Arial" w:cs="Arial"/>
          <w:sz w:val="24"/>
          <w:szCs w:val="24"/>
        </w:rPr>
        <w:t>res</w:t>
      </w:r>
      <w:r w:rsidRPr="00172E42">
        <w:rPr>
          <w:rFonts w:ascii="Arial" w:hAnsi="Arial" w:cs="Arial"/>
          <w:sz w:val="24"/>
          <w:szCs w:val="24"/>
        </w:rPr>
        <w:t>tação de serviços à comunidade;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7754D" w:rsidRPr="00172E42">
        <w:rPr>
          <w:rFonts w:ascii="Arial" w:hAnsi="Arial" w:cs="Arial"/>
          <w:sz w:val="24"/>
          <w:szCs w:val="24"/>
        </w:rPr>
        <w:t xml:space="preserve">iberdade assistida – consiste na atuação conjunta da família </w:t>
      </w:r>
      <w:r w:rsidRPr="00172E42">
        <w:rPr>
          <w:rFonts w:ascii="Arial" w:hAnsi="Arial" w:cs="Arial"/>
          <w:sz w:val="24"/>
          <w:szCs w:val="24"/>
        </w:rPr>
        <w:t>e profissionais da área social;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7754D" w:rsidRPr="00172E42">
        <w:rPr>
          <w:rFonts w:ascii="Arial" w:hAnsi="Arial" w:cs="Arial"/>
          <w:sz w:val="24"/>
          <w:szCs w:val="24"/>
        </w:rPr>
        <w:t>emiliberdade – limitação das a</w:t>
      </w:r>
      <w:r w:rsidRPr="00172E42">
        <w:rPr>
          <w:rFonts w:ascii="Arial" w:hAnsi="Arial" w:cs="Arial"/>
          <w:sz w:val="24"/>
          <w:szCs w:val="24"/>
        </w:rPr>
        <w:t>tividades noturnas do infrator;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C7754D" w:rsidRPr="00172E42">
        <w:rPr>
          <w:rFonts w:ascii="Arial" w:hAnsi="Arial" w:cs="Arial"/>
          <w:sz w:val="24"/>
          <w:szCs w:val="24"/>
        </w:rPr>
        <w:t>nternação por tempo indeterminado.</w:t>
      </w:r>
    </w:p>
    <w:p w:rsidR="00C800A1" w:rsidRDefault="00C7754D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Usualmente, a aplicação das medidas socioeducativas se estende até </w:t>
      </w:r>
      <w:r w:rsidR="00792F71">
        <w:rPr>
          <w:rFonts w:ascii="Arial" w:hAnsi="Arial" w:cs="Arial"/>
          <w:sz w:val="24"/>
          <w:szCs w:val="24"/>
        </w:rPr>
        <w:t xml:space="preserve">os 18 anos completos do indivíduo, porém em casos de internação – medida determinada por fortes indícios de autoria e materialidade do ato infracional -, o cumprimento da medida pode chegar aos 21 anos, segundo o art. 121, </w:t>
      </w:r>
      <w:r w:rsidR="00792F71" w:rsidRPr="00792F71">
        <w:rPr>
          <w:rFonts w:ascii="Arial" w:hAnsi="Arial" w:cs="Arial"/>
          <w:sz w:val="24"/>
          <w:szCs w:val="24"/>
        </w:rPr>
        <w:t>§</w:t>
      </w:r>
      <w:r w:rsidR="00792F71">
        <w:rPr>
          <w:rFonts w:ascii="Arial" w:hAnsi="Arial" w:cs="Arial"/>
          <w:sz w:val="24"/>
          <w:szCs w:val="24"/>
        </w:rPr>
        <w:t xml:space="preserve"> </w:t>
      </w:r>
      <w:r w:rsidR="00792F71" w:rsidRPr="00792F71">
        <w:rPr>
          <w:rFonts w:ascii="Arial" w:hAnsi="Arial" w:cs="Arial"/>
          <w:sz w:val="24"/>
          <w:szCs w:val="24"/>
        </w:rPr>
        <w:t>5º</w:t>
      </w:r>
      <w:r w:rsidR="00792F71">
        <w:rPr>
          <w:rFonts w:ascii="Arial" w:hAnsi="Arial" w:cs="Arial"/>
          <w:sz w:val="24"/>
          <w:szCs w:val="24"/>
        </w:rPr>
        <w:t xml:space="preserve"> do ECA (VIEGAS; RABELO, 2011).</w:t>
      </w:r>
    </w:p>
    <w:p w:rsidR="00792F71" w:rsidRDefault="00476432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Todavia, o chamado “jovem infrator” pode se isentar da aplicação de medidas protetivas ou socioeducativas caso o Representante do Ministério público conceda o perdão antes do processo de apuração do ato infracional. O perdão pode ser concedido a partir da análise das circunstâncias, consequências e gravidade do ato, além da personalidade e grau de participação do adolescente.</w:t>
      </w:r>
    </w:p>
    <w:p w:rsidR="00476432" w:rsidRDefault="00476432" w:rsidP="00C800A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92F71" w:rsidRDefault="00792F7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>COSTA, Tarcísio José Martins. Estatuto da Criança e do Adolescente comentado. Belo Horizonte: Del Rey, 2004.</w:t>
      </w:r>
    </w:p>
    <w:p w:rsidR="00792F71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VIEGAS, Cláudia Mara de Almeida Rabelo; RABELO, Cesar Leandro de Almeida. Principais considerações sobre o Estatuto da Criança e do Adolescente. In: Âmbito Jurídico, Rio Grande, XIV, n. 94, </w:t>
      </w:r>
      <w:proofErr w:type="spellStart"/>
      <w:r w:rsidRPr="00792F71">
        <w:rPr>
          <w:rFonts w:ascii="Arial" w:hAnsi="Arial" w:cs="Arial"/>
          <w:sz w:val="24"/>
          <w:szCs w:val="24"/>
        </w:rPr>
        <w:t>nov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2011. Disponível em: &lt;http://ambito-juridico.com.br/site/?artigo_id=10593&amp;n_link=revista_artigos_leitura&gt;. Acesso em </w:t>
      </w:r>
      <w:proofErr w:type="spellStart"/>
      <w:r w:rsidRPr="00792F71">
        <w:rPr>
          <w:rFonts w:ascii="Arial" w:hAnsi="Arial" w:cs="Arial"/>
          <w:sz w:val="24"/>
          <w:szCs w:val="24"/>
        </w:rPr>
        <w:t>nov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2015.</w:t>
      </w:r>
    </w:p>
    <w:p w:rsidR="00792F71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AVILA, Sueli de Fatima </w:t>
      </w:r>
      <w:proofErr w:type="spellStart"/>
      <w:r w:rsidRPr="00792F71">
        <w:rPr>
          <w:rFonts w:ascii="Arial" w:hAnsi="Arial" w:cs="Arial"/>
          <w:sz w:val="24"/>
          <w:szCs w:val="24"/>
        </w:rPr>
        <w:t>Ourique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de. A adolescência como ideal </w:t>
      </w:r>
      <w:proofErr w:type="gramStart"/>
      <w:r w:rsidRPr="00792F71">
        <w:rPr>
          <w:rFonts w:ascii="Arial" w:hAnsi="Arial" w:cs="Arial"/>
          <w:sz w:val="24"/>
          <w:szCs w:val="24"/>
        </w:rPr>
        <w:t>social..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In: SIMPOSIO INTERNACIONAL DO ADOLESCENTE, </w:t>
      </w:r>
      <w:proofErr w:type="gramStart"/>
      <w:r w:rsidRPr="00792F71">
        <w:rPr>
          <w:rFonts w:ascii="Arial" w:hAnsi="Arial" w:cs="Arial"/>
          <w:sz w:val="24"/>
          <w:szCs w:val="24"/>
        </w:rPr>
        <w:t>2.,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2005, São Paulo. </w:t>
      </w:r>
      <w:proofErr w:type="spellStart"/>
      <w:r w:rsidRPr="00792F71">
        <w:rPr>
          <w:rFonts w:ascii="Arial" w:hAnsi="Arial" w:cs="Arial"/>
          <w:sz w:val="24"/>
          <w:szCs w:val="24"/>
        </w:rPr>
        <w:t>Proceedings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online... </w:t>
      </w:r>
      <w:proofErr w:type="spellStart"/>
      <w:r w:rsidRPr="00792F71">
        <w:rPr>
          <w:rFonts w:ascii="Arial" w:hAnsi="Arial" w:cs="Arial"/>
          <w:sz w:val="24"/>
          <w:szCs w:val="24"/>
        </w:rPr>
        <w:t>Available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F71">
        <w:rPr>
          <w:rFonts w:ascii="Arial" w:hAnsi="Arial" w:cs="Arial"/>
          <w:sz w:val="24"/>
          <w:szCs w:val="24"/>
        </w:rPr>
        <w:t>from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: &lt;http://www.proceedings.scielo.br/scielo.php?script=sci_arttext&amp;pid=MSC0000000082005000200008&amp;lng=en&amp;nrm=abn&gt;. </w:t>
      </w:r>
      <w:proofErr w:type="spellStart"/>
      <w:r w:rsidRPr="00792F71">
        <w:rPr>
          <w:rFonts w:ascii="Arial" w:hAnsi="Arial" w:cs="Arial"/>
          <w:sz w:val="24"/>
          <w:szCs w:val="24"/>
        </w:rPr>
        <w:t>Acess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F71">
        <w:rPr>
          <w:rFonts w:ascii="Arial" w:hAnsi="Arial" w:cs="Arial"/>
          <w:sz w:val="24"/>
          <w:szCs w:val="24"/>
        </w:rPr>
        <w:t>on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: 04 </w:t>
      </w:r>
      <w:proofErr w:type="gramStart"/>
      <w:r w:rsidRPr="00792F71">
        <w:rPr>
          <w:rFonts w:ascii="Arial" w:hAnsi="Arial" w:cs="Arial"/>
          <w:sz w:val="24"/>
          <w:szCs w:val="24"/>
        </w:rPr>
        <w:t>Nov.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2015.</w:t>
      </w:r>
    </w:p>
    <w:p w:rsidR="00792F71" w:rsidRPr="00792F71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>BRASIL. Constituição Federativa da República do Brasil de 05 de outubro de 1998.</w:t>
      </w:r>
    </w:p>
    <w:p w:rsidR="00792F71" w:rsidRPr="00073182" w:rsidRDefault="00792F71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>BRASIL. Lei nº 8.069/90. Dispõe sobre o Estatuto da Criança e do Adolescente e dá outras providências. Senado Federal, Brasília, 2011.</w:t>
      </w:r>
    </w:p>
    <w:sectPr w:rsidR="00792F71" w:rsidRPr="0007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39ED"/>
    <w:multiLevelType w:val="hybridMultilevel"/>
    <w:tmpl w:val="D7B02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61BF"/>
    <w:multiLevelType w:val="hybridMultilevel"/>
    <w:tmpl w:val="4F8C04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B4"/>
    <w:rsid w:val="00073182"/>
    <w:rsid w:val="00133654"/>
    <w:rsid w:val="00172E42"/>
    <w:rsid w:val="00431CA3"/>
    <w:rsid w:val="00475ADA"/>
    <w:rsid w:val="00476432"/>
    <w:rsid w:val="006E5133"/>
    <w:rsid w:val="006E622D"/>
    <w:rsid w:val="00792F71"/>
    <w:rsid w:val="008D65AD"/>
    <w:rsid w:val="009B4852"/>
    <w:rsid w:val="00A22573"/>
    <w:rsid w:val="00A44CB4"/>
    <w:rsid w:val="00BB4877"/>
    <w:rsid w:val="00BB6639"/>
    <w:rsid w:val="00BC081A"/>
    <w:rsid w:val="00C7754D"/>
    <w:rsid w:val="00C800A1"/>
    <w:rsid w:val="00C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E002-686A-4862-B5FE-75BFBE9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4</cp:revision>
  <dcterms:created xsi:type="dcterms:W3CDTF">2015-11-04T21:20:00Z</dcterms:created>
  <dcterms:modified xsi:type="dcterms:W3CDTF">2015-11-05T18:48:00Z</dcterms:modified>
</cp:coreProperties>
</file>