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7E749FE7"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Corte d’Appello 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2272D4C1" w14:textId="313B6A11" w:rsidR="00296CCA"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p>
    <w:p w14:paraId="3CFB7085" w14:textId="77777777" w:rsidR="002D057B" w:rsidRDefault="00BC259E" w:rsidP="00AE5BA8">
      <w:r>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Pr>
          <w:i/>
          <w:iCs/>
        </w:rPr>
        <w:t>”</w:t>
      </w:r>
      <w:r>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72FC734C" w:rsidR="005B3654" w:rsidRDefault="008A6FD6" w:rsidP="00AE5BA8">
      <w:r>
        <w:t xml:space="preserve">Un esempio interessante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21FC1F72" w:rsidR="00C36EB1" w:rsidRDefault="003265DF" w:rsidP="00AE5BA8">
      <w:r>
        <w:t xml:space="preserve">Un’altra offerta 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1B619E79"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p>
    <w:p w14:paraId="769683B4" w14:textId="0325F967"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Ciò delega la normale competenza di un tribunale, esprimendo esplicitamente per iscritto questa regola. </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w:t>
      </w:r>
      <w:r w:rsidR="00A10C6F">
        <w:lastRenderedPageBreak/>
        <w:t>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00173432" w14:textId="66A8FD54" w:rsidR="00912615" w:rsidRDefault="003854B6" w:rsidP="00AE5BA8">
      <w:r>
        <w:t>In quanto consumator</w:t>
      </w:r>
      <w:r w:rsidR="006603AF">
        <w:t>e, egli deve possedere la possibilità</w:t>
      </w:r>
      <w:r>
        <w:t xml:space="preserve"> di fare causa liberamente</w:t>
      </w:r>
      <w:r w:rsidR="006603AF">
        <w:t xml:space="preserve"> al 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74E331CA" w14:textId="4AF9FA62" w:rsidR="00FC2935" w:rsidRDefault="00FC2935" w:rsidP="00AE5BA8"/>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4927D88E" w14:textId="1198B39F" w:rsidR="0018479A" w:rsidRDefault="0018479A" w:rsidP="0018479A">
      <w:pPr>
        <w:pStyle w:val="Paragrafoelenco"/>
        <w:numPr>
          <w:ilvl w:val="0"/>
          <w:numId w:val="1"/>
        </w:numPr>
      </w:pPr>
      <w:r>
        <w:t>contratti conclusi con operatori delle telecomunicazioni con telefoni pubblici</w:t>
      </w:r>
    </w:p>
    <w:p w14:paraId="2A2F94AF" w14:textId="3A45C394" w:rsidR="0018479A" w:rsidRDefault="0018479A" w:rsidP="0018479A"/>
    <w:p w14:paraId="17164D5C" w14:textId="39DB28F5" w:rsidR="004C096A" w:rsidRDefault="00002AB7" w:rsidP="00AE5BA8">
      <w:r>
        <w:t xml:space="preserve">Come preannunciato, il diritto di recesso si ha entro i 14 giorni lavorativi. </w:t>
      </w:r>
    </w:p>
    <w:p w14:paraId="20350F2F" w14:textId="4340F034" w:rsidR="00002AB7" w:rsidRDefault="00002AB7" w:rsidP="00AE5BA8">
      <w:r>
        <w:t>Nel caso dei beni (dal giorno del loro ricevimento) o servizi (giorno di conclusione del contratto). Nel caso di non informazione, si ha entro tre mesi.</w:t>
      </w:r>
    </w:p>
    <w:p w14:paraId="2D4BDE9F" w14:textId="40BB16D3" w:rsidR="00002AB7" w:rsidRDefault="00002AB7" w:rsidP="00AE5BA8">
      <w:r>
        <w:lastRenderedPageBreak/>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5B7C307A" w14:textId="08D14F3D" w:rsidR="00FD682A" w:rsidRDefault="000063FF" w:rsidP="00AE5BA8">
      <w:r>
        <w:t>Il fornitore stesso deve eseguire l’ordinazione entro 30 giorni salvo diverso accordo.</w:t>
      </w:r>
    </w:p>
    <w:p w14:paraId="60D97D4C" w14:textId="77777777" w:rsidR="000063FF" w:rsidRDefault="000063FF" w:rsidP="00AE5BA8"/>
    <w:p w14:paraId="71105ADB" w14:textId="68328F28" w:rsidR="00D84F84" w:rsidRDefault="00E96455" w:rsidP="00AE5BA8">
      <w:r>
        <w:t>Altro caso importante è la tutela del minore,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lastRenderedPageBreak/>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software,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2AB6C739" w14:textId="46F1591E" w:rsidR="001424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33F4C0EC" w14:textId="4F99DC39" w:rsidR="000548C1" w:rsidRDefault="000548C1" w:rsidP="00AE5BA8">
      <w:pPr>
        <w:rPr>
          <w:i/>
          <w:iCs/>
        </w:rPr>
      </w:pP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78000E6A" w14:textId="70B2D552" w:rsidR="00905399"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17AE9C29" w14:textId="20A97DA1" w:rsidR="002A0188" w:rsidRDefault="002A0188" w:rsidP="00AE5BA8"/>
    <w:p w14:paraId="21454DD3" w14:textId="17F081BC" w:rsidR="002A0188" w:rsidRDefault="002A0188" w:rsidP="00AE5BA8">
      <w:r>
        <w:t>Non si dev</w:t>
      </w:r>
      <w:r w:rsidR="00931D0F">
        <w:t>ono</w:t>
      </w:r>
      <w:r>
        <w:t xml:space="preserve"> violare l</w:t>
      </w:r>
      <w:r w:rsidR="00931D0F">
        <w:t>e 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E037DE9" w14:textId="215F7BC8" w:rsidR="002A0188" w:rsidRDefault="002A0188" w:rsidP="00AE5BA8">
      <w:r>
        <w:t xml:space="preserve">Nel caso di opere letterarie, viene riconosciuta una privativa di 70 anni. </w:t>
      </w:r>
    </w:p>
    <w:p w14:paraId="671C7C2C" w14:textId="77777777" w:rsidR="00DD3A1A" w:rsidRDefault="00DD3A1A" w:rsidP="00AE5BA8"/>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1E41CE79"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02195454" w:rsidR="009E5F7E"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 fornendo una regola speculare, dando un’informativa e una giusta notizia delle novit</w:t>
      </w:r>
      <w:r w:rsidR="00E33A18">
        <w:t>à. Le decisioni possono essere considerate contestabili qualora la decisione risulti coerente.</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B34E505" w:rsidR="004649EA" w:rsidRDefault="004649EA" w:rsidP="004768F5">
      <w:pPr>
        <w:tabs>
          <w:tab w:val="left" w:pos="1475"/>
        </w:tabs>
      </w:pPr>
      <w:r>
        <w:t xml:space="preserve">Le piattaforme digitali non trattano dati che non siano connessi e </w:t>
      </w:r>
      <w:r w:rsidR="002939B9">
        <w:t>strettamente</w:t>
      </w:r>
      <w:r>
        <w:t xml:space="preserve"> necessari, in particolare dando sole informazioni connesse allo stato emotivo e psicologico del lavoratore</w:t>
      </w:r>
      <w:r w:rsidR="003C328F">
        <w:t>, in corrispondenza delle sue esigenze e delle sue competenze. Un dipendente deve essere quindi commisurato a s</w:t>
      </w:r>
      <w:r w:rsidR="005A49AF">
        <w:t>e</w:t>
      </w:r>
      <w:r w:rsidR="003C328F">
        <w:t xml:space="preserve"> stesso, con ragionevole controllo umano ed evitare la disumanizzazione del lavoro</w:t>
      </w:r>
      <w:r w:rsidR="005A49AF">
        <w:t>.</w:t>
      </w:r>
    </w:p>
    <w:p w14:paraId="23994654" w14:textId="7C606245" w:rsidR="00B67C34" w:rsidRDefault="00B67C34" w:rsidP="004768F5">
      <w:pPr>
        <w:tabs>
          <w:tab w:val="left" w:pos="1475"/>
        </w:tabs>
        <w:rPr>
          <w:rFonts w:ascii="Calibri" w:hAnsi="Calibri" w:cs="Calibri"/>
        </w:rPr>
      </w:pPr>
      <w:r>
        <w:t xml:space="preserve">Si deve quindi capire chi sia l’effettivo destinatario della comunicazione giuridica, ricevendo in senso lato le regole del diritto del lavoro, commisurato in senso nazionale da parte dei singoli stati e rapporti. </w:t>
      </w:r>
      <w:r w:rsidR="00AE355D">
        <w:t xml:space="preserve">È sufficiente guardare </w:t>
      </w:r>
      <w:r w:rsidR="005E79C7">
        <w:t xml:space="preserve"> </w:t>
      </w:r>
      <w:r w:rsidR="005E79C7">
        <w:rPr>
          <w:rFonts w:ascii="Calibri" w:hAnsi="Calibri" w:cs="Calibri"/>
        </w:rPr>
        <w:t xml:space="preserve">alle vere condizioni del contratto: regolamentazione di ferie, consulenza, collaborazione e regolamentazione. </w:t>
      </w:r>
    </w:p>
    <w:p w14:paraId="18A6F697" w14:textId="584ECCB4" w:rsidR="001061C5" w:rsidRDefault="001061C5" w:rsidP="004768F5">
      <w:pPr>
        <w:tabs>
          <w:tab w:val="left" w:pos="1475"/>
        </w:tabs>
        <w:rPr>
          <w:rFonts w:ascii="Calibri" w:hAnsi="Calibri" w:cs="Calibri"/>
        </w:rPr>
      </w:pPr>
    </w:p>
    <w:p w14:paraId="62100B07" w14:textId="0CB35F81" w:rsidR="001061C5" w:rsidRDefault="00534399" w:rsidP="004768F5">
      <w:pPr>
        <w:tabs>
          <w:tab w:val="left" w:pos="1475"/>
        </w:tabs>
        <w:rPr>
          <w:rFonts w:ascii="Calibri" w:hAnsi="Calibri" w:cs="Calibri"/>
        </w:rPr>
      </w:pPr>
      <w:r>
        <w:rPr>
          <w:rFonts w:ascii="Calibri" w:hAnsi="Calibri" w:cs="Calibri"/>
        </w:rPr>
        <w:t>Prendiamo anche uno stage, forma di contratto di apprendistato e senza vera regolamentazione</w:t>
      </w:r>
      <w:r w:rsidR="007E17B0">
        <w:rPr>
          <w:rFonts w:ascii="Calibri" w:hAnsi="Calibri" w:cs="Calibri"/>
        </w:rPr>
        <w:t>, essendo considerat</w:t>
      </w:r>
      <w:r w:rsidR="003E4CA8">
        <w:rPr>
          <w:rFonts w:ascii="Calibri" w:hAnsi="Calibri" w:cs="Calibri"/>
        </w:rPr>
        <w:t xml:space="preserve">a </w:t>
      </w:r>
      <w:r w:rsidR="007E17B0">
        <w:rPr>
          <w:rFonts w:ascii="Calibri" w:hAnsi="Calibri" w:cs="Calibri"/>
        </w:rPr>
        <w:t>attività formativa e quindi altra competenza “fumosa”, infatti gestito dall</w:t>
      </w:r>
      <w:r w:rsidR="005C2234">
        <w:rPr>
          <w:rFonts w:ascii="Calibri" w:hAnsi="Calibri" w:cs="Calibri"/>
        </w:rPr>
        <w:t xml:space="preserve">e </w:t>
      </w:r>
      <w:r w:rsidR="007E17B0">
        <w:rPr>
          <w:rFonts w:ascii="Calibri" w:hAnsi="Calibri" w:cs="Calibri"/>
        </w:rPr>
        <w:t xml:space="preserve">Regioni. </w:t>
      </w:r>
    </w:p>
    <w:p w14:paraId="56A30F37" w14:textId="0DB6EAD4" w:rsidR="00724CD1" w:rsidRDefault="001C1DC8" w:rsidP="001C1DC8">
      <w:pPr>
        <w:rPr>
          <w:rFonts w:ascii="Calibri" w:hAnsi="Calibri" w:cs="Calibri"/>
        </w:rPr>
      </w:pPr>
      <w:r>
        <w:rPr>
          <w:rFonts w:ascii="Calibri" w:hAnsi="Calibri" w:cs="Calibri"/>
        </w:rPr>
        <w:t>Similmente anche il volontariato/associazione a scopo di lucro, similmente allo stage, è prestazione di lavoro gratuita</w:t>
      </w:r>
      <w:r w:rsidR="00F76FFD">
        <w:rPr>
          <w:rFonts w:ascii="Calibri" w:hAnsi="Calibri" w:cs="Calibri"/>
        </w:rPr>
        <w:t xml:space="preserve"> e di forma di lavoro associativo, dando il controllo all’impresa stessa, prendendo anche il caso dell’impresa familiare.</w:t>
      </w:r>
      <w:r w:rsidR="00724CD1">
        <w:rPr>
          <w:rFonts w:ascii="Calibri" w:hAnsi="Calibri" w:cs="Calibri"/>
        </w:rPr>
        <w:t xml:space="preserve"> </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1A59A470" w14:textId="781E4BBC" w:rsidR="00C66D0E"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3D4C595E" w14:textId="77777777" w:rsidR="0033244A" w:rsidRDefault="0033244A" w:rsidP="001C1DC8">
      <w:pPr>
        <w:rPr>
          <w:rFonts w:ascii="Calibri" w:hAnsi="Calibri" w:cs="Calibri"/>
        </w:rPr>
      </w:pP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73B0DF5B"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 xml:space="preserve">Se tali scopi non vi sono l’ordine è illegittimo,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6C2AB2D3"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 nel caso in cui ci siano dei vincoli non richiesti, avendo diritto di chiedere che il giudice annulli certi 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 xml:space="preserve">articolo 1655 </w:t>
      </w:r>
      <w:r w:rsidR="00D67887" w:rsidRPr="00D67887">
        <w:rPr>
          <w:rFonts w:ascii="Calibri" w:hAnsi="Calibri" w:cs="Calibri"/>
          <w:i/>
          <w:iCs/>
        </w:rPr>
        <w:lastRenderedPageBreak/>
        <w:t>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046648FB" w:rsidR="007C409C" w:rsidRDefault="007C409C" w:rsidP="00582884">
      <w:pPr>
        <w:rPr>
          <w:rFonts w:ascii="Calibri" w:hAnsi="Calibri" w:cs="Calibri"/>
          <w:b/>
          <w:bCs/>
          <w:i/>
          <w:iCs/>
          <w:u w:val="single"/>
        </w:rPr>
      </w:pPr>
      <w:r>
        <w:rPr>
          <w:rFonts w:ascii="Calibri" w:hAnsi="Calibri" w:cs="Calibri"/>
          <w:b/>
          <w:bCs/>
          <w:i/>
          <w:iCs/>
          <w:u w:val="single"/>
        </w:rPr>
        <w:t>07/04/2022:</w:t>
      </w:r>
      <w:r w:rsidR="007D1ECE">
        <w:rPr>
          <w:rFonts w:ascii="Calibri" w:hAnsi="Calibri" w:cs="Calibri"/>
          <w:b/>
          <w:bCs/>
          <w:i/>
          <w:iCs/>
          <w:u w:val="single"/>
        </w:rPr>
        <w:t xml:space="preserve"> Controversie individuali</w:t>
      </w:r>
    </w:p>
    <w:p w14:paraId="630A7BF4" w14:textId="24423761" w:rsidR="007D1ECE" w:rsidRDefault="007D1ECE" w:rsidP="00582884">
      <w:pPr>
        <w:rPr>
          <w:rFonts w:ascii="Calibri" w:hAnsi="Calibri" w:cs="Calibri"/>
          <w:b/>
          <w:bCs/>
          <w:i/>
          <w:iCs/>
          <w:u w:val="single"/>
        </w:rPr>
      </w:pPr>
    </w:p>
    <w:p w14:paraId="1B5341C2" w14:textId="19FC6550"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non essendoci un potere unilaterale e di comune accordo</w:t>
      </w:r>
      <w:r w:rsidR="00D07B31">
        <w:rPr>
          <w:rFonts w:ascii="Calibri" w:hAnsi="Calibri" w:cs="Calibri"/>
        </w:rPr>
        <w:t xml:space="preserve">, a rapporti di lavoro collaborativi in cui però il coordinamento non è concorde, non essendo accordo ma organizzazione esterna. </w:t>
      </w:r>
    </w:p>
    <w:p w14:paraId="02C77D0A" w14:textId="7E591BCE"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1E39CD8B" w14:textId="77777777" w:rsidR="00FB1735" w:rsidRDefault="008B461E" w:rsidP="00582884">
      <w:pPr>
        <w:rPr>
          <w:rFonts w:ascii="Calibri" w:hAnsi="Calibri" w:cs="Calibri"/>
        </w:rPr>
      </w:pPr>
      <w:r>
        <w:rPr>
          <w:rFonts w:ascii="Calibri" w:hAnsi="Calibri" w:cs="Calibri"/>
        </w:rPr>
        <w:lastRenderedPageBreak/>
        <w:t>La divulgazione di notizie ed organizzazione di metodi di produzione di impresa non intende solo la produzione di mezzi tecnologici, att</w:t>
      </w:r>
      <w:r w:rsidR="00FB1735">
        <w:rPr>
          <w:rFonts w:ascii="Calibri" w:hAnsi="Calibri" w:cs="Calibri"/>
        </w:rPr>
        <w:t>enendosi</w:t>
      </w:r>
      <w:r>
        <w:rPr>
          <w:rFonts w:ascii="Calibri" w:hAnsi="Calibri" w:cs="Calibri"/>
        </w:rPr>
        <w:t xml:space="preserve"> alle modalità specifiche d’azienda</w:t>
      </w:r>
      <w:r w:rsidR="005A25A2">
        <w:rPr>
          <w:rFonts w:ascii="Calibri" w:hAnsi="Calibri" w:cs="Calibri"/>
        </w:rPr>
        <w:t>. Vengono quindi applicate sanz</w:t>
      </w:r>
      <w:r w:rsidR="00FB1735">
        <w:rPr>
          <w:rFonts w:ascii="Calibri" w:hAnsi="Calibri" w:cs="Calibri"/>
        </w:rPr>
        <w:t>i</w:t>
      </w:r>
      <w:r w:rsidR="005A25A2">
        <w:rPr>
          <w:rFonts w:ascii="Calibri" w:hAnsi="Calibri" w:cs="Calibri"/>
        </w:rPr>
        <w:t>oni disciplinari a seconda del tipo di violazione</w:t>
      </w:r>
      <w:r w:rsidR="00675B71">
        <w:rPr>
          <w:rFonts w:ascii="Calibri" w:hAnsi="Calibri" w:cs="Calibri"/>
        </w:rPr>
        <w:t xml:space="preserve">/infrazione nel contesto specifico. </w:t>
      </w:r>
    </w:p>
    <w:p w14:paraId="6A7E0D4B" w14:textId="2698D046" w:rsidR="00756AB8" w:rsidRDefault="00756AB8" w:rsidP="00582884">
      <w:pPr>
        <w:rPr>
          <w:rFonts w:ascii="Calibri" w:hAnsi="Calibri" w:cs="Calibri"/>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 per far crollare tutto il magazzino.</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disciplinare, evitando comportamenti gravi. </w:t>
      </w:r>
    </w:p>
    <w:p w14:paraId="426575CC" w14:textId="54110865" w:rsidR="00C04304" w:rsidRDefault="00C04304" w:rsidP="00C04304">
      <w:pPr>
        <w:rPr>
          <w:rFonts w:ascii="Calibri" w:hAnsi="Calibri" w:cs="Calibri"/>
          <w:i/>
          <w:iCs/>
        </w:rPr>
      </w:pPr>
      <w:r>
        <w:rPr>
          <w:rFonts w:ascii="Calibri" w:hAnsi="Calibri" w:cs="Calibri"/>
        </w:rPr>
        <w:t xml:space="preserve">Citiamo l’art. 2087 del codice civile, che afferma che </w:t>
      </w:r>
      <w:r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2939B9">
        <w:rPr>
          <w:rFonts w:ascii="Calibri" w:hAnsi="Calibri" w:cs="Calibri"/>
          <w:i/>
          <w:iCs/>
        </w:rPr>
        <w:t>à</w:t>
      </w:r>
      <w:r w:rsidRPr="00C04304">
        <w:rPr>
          <w:rFonts w:ascii="Calibri" w:hAnsi="Calibri" w:cs="Calibri"/>
          <w:i/>
          <w:iCs/>
        </w:rPr>
        <w:t>' morale dei prestatori di lavoro.</w:t>
      </w:r>
    </w:p>
    <w:p w14:paraId="5C2B1753" w14:textId="7C2AA669" w:rsidR="00C04304" w:rsidRDefault="00C04304" w:rsidP="00C04304">
      <w:pPr>
        <w:rPr>
          <w:rFonts w:ascii="Calibri" w:hAnsi="Calibri" w:cs="Calibri"/>
          <w:i/>
          <w:iCs/>
        </w:rPr>
      </w:pPr>
    </w:p>
    <w:p w14:paraId="0B3F137E" w14:textId="4F7AD270" w:rsidR="00C04304" w:rsidRP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sectPr w:rsidR="00C04304" w:rsidRPr="00C0430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BFBE" w14:textId="77777777" w:rsidR="000F70CD" w:rsidRDefault="000F70CD" w:rsidP="003F0118">
      <w:r>
        <w:separator/>
      </w:r>
    </w:p>
  </w:endnote>
  <w:endnote w:type="continuationSeparator" w:id="0">
    <w:p w14:paraId="659CA287" w14:textId="77777777" w:rsidR="000F70CD" w:rsidRDefault="000F70CD"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34DE" w14:textId="77777777" w:rsidR="000F70CD" w:rsidRDefault="000F70CD" w:rsidP="003F0118">
      <w:r>
        <w:separator/>
      </w:r>
    </w:p>
  </w:footnote>
  <w:footnote w:type="continuationSeparator" w:id="0">
    <w:p w14:paraId="2B59CBBD" w14:textId="77777777" w:rsidR="000F70CD" w:rsidRDefault="000F70CD"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1"/>
  </w:num>
  <w:num w:numId="2" w16cid:durableId="2493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3453E"/>
    <w:rsid w:val="00034B77"/>
    <w:rsid w:val="000350E6"/>
    <w:rsid w:val="00035174"/>
    <w:rsid w:val="000548C1"/>
    <w:rsid w:val="00055642"/>
    <w:rsid w:val="00062BE9"/>
    <w:rsid w:val="00065A68"/>
    <w:rsid w:val="000676ED"/>
    <w:rsid w:val="00071E65"/>
    <w:rsid w:val="00076C56"/>
    <w:rsid w:val="00082061"/>
    <w:rsid w:val="00084051"/>
    <w:rsid w:val="000859E9"/>
    <w:rsid w:val="0009273E"/>
    <w:rsid w:val="000A11B5"/>
    <w:rsid w:val="000A282F"/>
    <w:rsid w:val="000A41ED"/>
    <w:rsid w:val="000A7FA2"/>
    <w:rsid w:val="000B379B"/>
    <w:rsid w:val="000B714D"/>
    <w:rsid w:val="000C383E"/>
    <w:rsid w:val="000D5115"/>
    <w:rsid w:val="000F3A6B"/>
    <w:rsid w:val="000F70CD"/>
    <w:rsid w:val="001010C5"/>
    <w:rsid w:val="0010434F"/>
    <w:rsid w:val="001061C5"/>
    <w:rsid w:val="001063FA"/>
    <w:rsid w:val="00111373"/>
    <w:rsid w:val="001137E2"/>
    <w:rsid w:val="00114184"/>
    <w:rsid w:val="001256C5"/>
    <w:rsid w:val="001424C1"/>
    <w:rsid w:val="00145287"/>
    <w:rsid w:val="001528B5"/>
    <w:rsid w:val="00162511"/>
    <w:rsid w:val="001657BA"/>
    <w:rsid w:val="001668FB"/>
    <w:rsid w:val="00170D74"/>
    <w:rsid w:val="001731EE"/>
    <w:rsid w:val="001736E2"/>
    <w:rsid w:val="00173EC8"/>
    <w:rsid w:val="00177C82"/>
    <w:rsid w:val="001807E2"/>
    <w:rsid w:val="00181514"/>
    <w:rsid w:val="001830E3"/>
    <w:rsid w:val="0018479A"/>
    <w:rsid w:val="00184A9E"/>
    <w:rsid w:val="00187E72"/>
    <w:rsid w:val="00191001"/>
    <w:rsid w:val="0019132F"/>
    <w:rsid w:val="0019165B"/>
    <w:rsid w:val="001977B0"/>
    <w:rsid w:val="001A1A49"/>
    <w:rsid w:val="001A7651"/>
    <w:rsid w:val="001A7FBA"/>
    <w:rsid w:val="001C1DC8"/>
    <w:rsid w:val="001C5043"/>
    <w:rsid w:val="001D0A4D"/>
    <w:rsid w:val="001D2612"/>
    <w:rsid w:val="001E0D20"/>
    <w:rsid w:val="001E129D"/>
    <w:rsid w:val="001E25F2"/>
    <w:rsid w:val="001F1ED9"/>
    <w:rsid w:val="001F2384"/>
    <w:rsid w:val="001F7C63"/>
    <w:rsid w:val="00210938"/>
    <w:rsid w:val="00210FB7"/>
    <w:rsid w:val="002178D5"/>
    <w:rsid w:val="002210CA"/>
    <w:rsid w:val="0022289C"/>
    <w:rsid w:val="00224A92"/>
    <w:rsid w:val="00231A11"/>
    <w:rsid w:val="00240C3F"/>
    <w:rsid w:val="00243FFE"/>
    <w:rsid w:val="00247C01"/>
    <w:rsid w:val="002508A5"/>
    <w:rsid w:val="00251EBF"/>
    <w:rsid w:val="0026194A"/>
    <w:rsid w:val="00261FFC"/>
    <w:rsid w:val="00270260"/>
    <w:rsid w:val="0027324D"/>
    <w:rsid w:val="00286E74"/>
    <w:rsid w:val="0029348F"/>
    <w:rsid w:val="002939B9"/>
    <w:rsid w:val="0029561A"/>
    <w:rsid w:val="00296CCA"/>
    <w:rsid w:val="002A0188"/>
    <w:rsid w:val="002A6F9B"/>
    <w:rsid w:val="002B0C7C"/>
    <w:rsid w:val="002B17C8"/>
    <w:rsid w:val="002B3841"/>
    <w:rsid w:val="002C3F2F"/>
    <w:rsid w:val="002C4DDE"/>
    <w:rsid w:val="002D057B"/>
    <w:rsid w:val="002D4230"/>
    <w:rsid w:val="002E6525"/>
    <w:rsid w:val="002F38A1"/>
    <w:rsid w:val="002F56E6"/>
    <w:rsid w:val="002F69D3"/>
    <w:rsid w:val="002F6E0B"/>
    <w:rsid w:val="00302849"/>
    <w:rsid w:val="003043D3"/>
    <w:rsid w:val="003108C3"/>
    <w:rsid w:val="00311498"/>
    <w:rsid w:val="00314B2F"/>
    <w:rsid w:val="00315698"/>
    <w:rsid w:val="00317A56"/>
    <w:rsid w:val="003228E8"/>
    <w:rsid w:val="00324A7A"/>
    <w:rsid w:val="003265DF"/>
    <w:rsid w:val="00331A8A"/>
    <w:rsid w:val="0033244A"/>
    <w:rsid w:val="00334038"/>
    <w:rsid w:val="0033593D"/>
    <w:rsid w:val="00344E7E"/>
    <w:rsid w:val="0036785B"/>
    <w:rsid w:val="003711F4"/>
    <w:rsid w:val="00374AF8"/>
    <w:rsid w:val="00380256"/>
    <w:rsid w:val="00380328"/>
    <w:rsid w:val="00380D5A"/>
    <w:rsid w:val="00382BED"/>
    <w:rsid w:val="00384B97"/>
    <w:rsid w:val="003854B6"/>
    <w:rsid w:val="00392BBD"/>
    <w:rsid w:val="00395E72"/>
    <w:rsid w:val="003A1BCA"/>
    <w:rsid w:val="003A5433"/>
    <w:rsid w:val="003B3352"/>
    <w:rsid w:val="003C060B"/>
    <w:rsid w:val="003C16BD"/>
    <w:rsid w:val="003C24B7"/>
    <w:rsid w:val="003C328F"/>
    <w:rsid w:val="003D20D5"/>
    <w:rsid w:val="003D2454"/>
    <w:rsid w:val="003D3665"/>
    <w:rsid w:val="003E003B"/>
    <w:rsid w:val="003E08FF"/>
    <w:rsid w:val="003E4CA8"/>
    <w:rsid w:val="003E5877"/>
    <w:rsid w:val="003E5FE5"/>
    <w:rsid w:val="003E7336"/>
    <w:rsid w:val="003F0118"/>
    <w:rsid w:val="003F09C8"/>
    <w:rsid w:val="003F1F92"/>
    <w:rsid w:val="003F50B5"/>
    <w:rsid w:val="003F6BFB"/>
    <w:rsid w:val="0040409F"/>
    <w:rsid w:val="00404872"/>
    <w:rsid w:val="00405368"/>
    <w:rsid w:val="004078E5"/>
    <w:rsid w:val="00426D23"/>
    <w:rsid w:val="004335DB"/>
    <w:rsid w:val="0043592A"/>
    <w:rsid w:val="00436142"/>
    <w:rsid w:val="00442C94"/>
    <w:rsid w:val="00444339"/>
    <w:rsid w:val="00445CE0"/>
    <w:rsid w:val="004570A7"/>
    <w:rsid w:val="00462766"/>
    <w:rsid w:val="004649EA"/>
    <w:rsid w:val="004725CC"/>
    <w:rsid w:val="0047291D"/>
    <w:rsid w:val="004768F5"/>
    <w:rsid w:val="00477E7A"/>
    <w:rsid w:val="004879E5"/>
    <w:rsid w:val="0049479B"/>
    <w:rsid w:val="004A569E"/>
    <w:rsid w:val="004A67C5"/>
    <w:rsid w:val="004B2A2A"/>
    <w:rsid w:val="004B4ABD"/>
    <w:rsid w:val="004C096A"/>
    <w:rsid w:val="004C0E10"/>
    <w:rsid w:val="004C169F"/>
    <w:rsid w:val="004C17F3"/>
    <w:rsid w:val="004C1DDD"/>
    <w:rsid w:val="004C4343"/>
    <w:rsid w:val="004C5633"/>
    <w:rsid w:val="004C750A"/>
    <w:rsid w:val="004D14B9"/>
    <w:rsid w:val="004D5177"/>
    <w:rsid w:val="004E1D75"/>
    <w:rsid w:val="004E3EB5"/>
    <w:rsid w:val="004E7F3D"/>
    <w:rsid w:val="004F08B4"/>
    <w:rsid w:val="004F52E1"/>
    <w:rsid w:val="00520B77"/>
    <w:rsid w:val="00522979"/>
    <w:rsid w:val="005261A6"/>
    <w:rsid w:val="00534399"/>
    <w:rsid w:val="0053796F"/>
    <w:rsid w:val="00545675"/>
    <w:rsid w:val="00550772"/>
    <w:rsid w:val="00557491"/>
    <w:rsid w:val="00566069"/>
    <w:rsid w:val="005711EA"/>
    <w:rsid w:val="00575543"/>
    <w:rsid w:val="00582884"/>
    <w:rsid w:val="00583EC0"/>
    <w:rsid w:val="0058794F"/>
    <w:rsid w:val="00593CF2"/>
    <w:rsid w:val="005979A7"/>
    <w:rsid w:val="005A25A2"/>
    <w:rsid w:val="005A49AF"/>
    <w:rsid w:val="005B2B61"/>
    <w:rsid w:val="005B3654"/>
    <w:rsid w:val="005C2234"/>
    <w:rsid w:val="005C2531"/>
    <w:rsid w:val="005D33E9"/>
    <w:rsid w:val="005D4FB5"/>
    <w:rsid w:val="005D7021"/>
    <w:rsid w:val="005E056A"/>
    <w:rsid w:val="005E79C7"/>
    <w:rsid w:val="005F4644"/>
    <w:rsid w:val="00604065"/>
    <w:rsid w:val="006057E8"/>
    <w:rsid w:val="00606BC1"/>
    <w:rsid w:val="006072BE"/>
    <w:rsid w:val="00613DA8"/>
    <w:rsid w:val="00615D3E"/>
    <w:rsid w:val="00616EAE"/>
    <w:rsid w:val="00624B39"/>
    <w:rsid w:val="0062789B"/>
    <w:rsid w:val="00637577"/>
    <w:rsid w:val="00637F82"/>
    <w:rsid w:val="00641B60"/>
    <w:rsid w:val="006422A6"/>
    <w:rsid w:val="00644737"/>
    <w:rsid w:val="00650A68"/>
    <w:rsid w:val="00653762"/>
    <w:rsid w:val="00654880"/>
    <w:rsid w:val="00657304"/>
    <w:rsid w:val="0065730D"/>
    <w:rsid w:val="006603AF"/>
    <w:rsid w:val="00661001"/>
    <w:rsid w:val="00673C51"/>
    <w:rsid w:val="00675B71"/>
    <w:rsid w:val="00675CE9"/>
    <w:rsid w:val="00692F3C"/>
    <w:rsid w:val="006932E9"/>
    <w:rsid w:val="006932FF"/>
    <w:rsid w:val="006A2AD5"/>
    <w:rsid w:val="006A4163"/>
    <w:rsid w:val="006A6E21"/>
    <w:rsid w:val="006C06A7"/>
    <w:rsid w:val="006D3763"/>
    <w:rsid w:val="006D6458"/>
    <w:rsid w:val="006D7041"/>
    <w:rsid w:val="006D7963"/>
    <w:rsid w:val="006E401D"/>
    <w:rsid w:val="006E7861"/>
    <w:rsid w:val="006F070D"/>
    <w:rsid w:val="006F1671"/>
    <w:rsid w:val="00721EA4"/>
    <w:rsid w:val="00724CD1"/>
    <w:rsid w:val="007404A3"/>
    <w:rsid w:val="0075283E"/>
    <w:rsid w:val="00756AB8"/>
    <w:rsid w:val="00760D97"/>
    <w:rsid w:val="0077425D"/>
    <w:rsid w:val="0078265A"/>
    <w:rsid w:val="00785D8D"/>
    <w:rsid w:val="00790C81"/>
    <w:rsid w:val="00793CF7"/>
    <w:rsid w:val="00794901"/>
    <w:rsid w:val="007B02CF"/>
    <w:rsid w:val="007B612C"/>
    <w:rsid w:val="007C06A8"/>
    <w:rsid w:val="007C0822"/>
    <w:rsid w:val="007C409C"/>
    <w:rsid w:val="007C586E"/>
    <w:rsid w:val="007C5F9B"/>
    <w:rsid w:val="007D1DC0"/>
    <w:rsid w:val="007D1ECE"/>
    <w:rsid w:val="007D52D2"/>
    <w:rsid w:val="007D5418"/>
    <w:rsid w:val="007D7FE3"/>
    <w:rsid w:val="007E17B0"/>
    <w:rsid w:val="007E2161"/>
    <w:rsid w:val="00807388"/>
    <w:rsid w:val="008133FD"/>
    <w:rsid w:val="00814B2E"/>
    <w:rsid w:val="00825099"/>
    <w:rsid w:val="00830CEC"/>
    <w:rsid w:val="0085347A"/>
    <w:rsid w:val="008600A1"/>
    <w:rsid w:val="00866C36"/>
    <w:rsid w:val="00867C78"/>
    <w:rsid w:val="00876735"/>
    <w:rsid w:val="0088147C"/>
    <w:rsid w:val="00881BC8"/>
    <w:rsid w:val="00883826"/>
    <w:rsid w:val="00883A34"/>
    <w:rsid w:val="0089434D"/>
    <w:rsid w:val="00894413"/>
    <w:rsid w:val="0089445E"/>
    <w:rsid w:val="008A2061"/>
    <w:rsid w:val="008A36AA"/>
    <w:rsid w:val="008A6FD6"/>
    <w:rsid w:val="008B0F8C"/>
    <w:rsid w:val="008B461E"/>
    <w:rsid w:val="008C3EC6"/>
    <w:rsid w:val="008C56E2"/>
    <w:rsid w:val="008D0024"/>
    <w:rsid w:val="008D3444"/>
    <w:rsid w:val="008E0842"/>
    <w:rsid w:val="008E0F27"/>
    <w:rsid w:val="008E39C8"/>
    <w:rsid w:val="008F1114"/>
    <w:rsid w:val="009024BF"/>
    <w:rsid w:val="00905399"/>
    <w:rsid w:val="00907CB0"/>
    <w:rsid w:val="00907D48"/>
    <w:rsid w:val="00912615"/>
    <w:rsid w:val="00914413"/>
    <w:rsid w:val="00914B3C"/>
    <w:rsid w:val="00915A4A"/>
    <w:rsid w:val="00923A97"/>
    <w:rsid w:val="00931D0F"/>
    <w:rsid w:val="0093225A"/>
    <w:rsid w:val="009409FA"/>
    <w:rsid w:val="0094101A"/>
    <w:rsid w:val="0094184D"/>
    <w:rsid w:val="009462B3"/>
    <w:rsid w:val="009465D3"/>
    <w:rsid w:val="009516BB"/>
    <w:rsid w:val="0095312D"/>
    <w:rsid w:val="0096776F"/>
    <w:rsid w:val="00967D68"/>
    <w:rsid w:val="0097176D"/>
    <w:rsid w:val="00981009"/>
    <w:rsid w:val="00986743"/>
    <w:rsid w:val="00986A66"/>
    <w:rsid w:val="009902A3"/>
    <w:rsid w:val="009A6C4C"/>
    <w:rsid w:val="009B7449"/>
    <w:rsid w:val="009B7599"/>
    <w:rsid w:val="009C377D"/>
    <w:rsid w:val="009C3B11"/>
    <w:rsid w:val="009C77FF"/>
    <w:rsid w:val="009D743A"/>
    <w:rsid w:val="009D7840"/>
    <w:rsid w:val="009E00F9"/>
    <w:rsid w:val="009E5468"/>
    <w:rsid w:val="009E5F7E"/>
    <w:rsid w:val="009F0289"/>
    <w:rsid w:val="009F251A"/>
    <w:rsid w:val="009F2B9C"/>
    <w:rsid w:val="009F3C35"/>
    <w:rsid w:val="009F4669"/>
    <w:rsid w:val="009F53D1"/>
    <w:rsid w:val="00A01116"/>
    <w:rsid w:val="00A04AF6"/>
    <w:rsid w:val="00A06B8A"/>
    <w:rsid w:val="00A10C6F"/>
    <w:rsid w:val="00A11994"/>
    <w:rsid w:val="00A14265"/>
    <w:rsid w:val="00A22BC4"/>
    <w:rsid w:val="00A23D5A"/>
    <w:rsid w:val="00A2798A"/>
    <w:rsid w:val="00A27F01"/>
    <w:rsid w:val="00A3282F"/>
    <w:rsid w:val="00A33752"/>
    <w:rsid w:val="00A33A53"/>
    <w:rsid w:val="00A40BB8"/>
    <w:rsid w:val="00A41F25"/>
    <w:rsid w:val="00A469E7"/>
    <w:rsid w:val="00A47D31"/>
    <w:rsid w:val="00A505B5"/>
    <w:rsid w:val="00A660CA"/>
    <w:rsid w:val="00A7564A"/>
    <w:rsid w:val="00A759CF"/>
    <w:rsid w:val="00A82832"/>
    <w:rsid w:val="00A91B3C"/>
    <w:rsid w:val="00AA473A"/>
    <w:rsid w:val="00AB1639"/>
    <w:rsid w:val="00AB79F2"/>
    <w:rsid w:val="00AC0FF7"/>
    <w:rsid w:val="00AC5534"/>
    <w:rsid w:val="00AE355D"/>
    <w:rsid w:val="00AE5BA8"/>
    <w:rsid w:val="00AE70DC"/>
    <w:rsid w:val="00AF482C"/>
    <w:rsid w:val="00B11FF1"/>
    <w:rsid w:val="00B128DB"/>
    <w:rsid w:val="00B12D94"/>
    <w:rsid w:val="00B1357F"/>
    <w:rsid w:val="00B13BF0"/>
    <w:rsid w:val="00B14DCD"/>
    <w:rsid w:val="00B20C95"/>
    <w:rsid w:val="00B20E8B"/>
    <w:rsid w:val="00B26D31"/>
    <w:rsid w:val="00B31DF0"/>
    <w:rsid w:val="00B3396B"/>
    <w:rsid w:val="00B40A86"/>
    <w:rsid w:val="00B41EF3"/>
    <w:rsid w:val="00B474F5"/>
    <w:rsid w:val="00B50908"/>
    <w:rsid w:val="00B52D8F"/>
    <w:rsid w:val="00B53877"/>
    <w:rsid w:val="00B53FA6"/>
    <w:rsid w:val="00B617BC"/>
    <w:rsid w:val="00B67C34"/>
    <w:rsid w:val="00B8063C"/>
    <w:rsid w:val="00B817DA"/>
    <w:rsid w:val="00B83355"/>
    <w:rsid w:val="00B8412C"/>
    <w:rsid w:val="00B86ADB"/>
    <w:rsid w:val="00B9229A"/>
    <w:rsid w:val="00B936C1"/>
    <w:rsid w:val="00B9753A"/>
    <w:rsid w:val="00BB34C9"/>
    <w:rsid w:val="00BB3C89"/>
    <w:rsid w:val="00BB40C9"/>
    <w:rsid w:val="00BB687F"/>
    <w:rsid w:val="00BC06A4"/>
    <w:rsid w:val="00BC259E"/>
    <w:rsid w:val="00BC6245"/>
    <w:rsid w:val="00BE3A23"/>
    <w:rsid w:val="00BF07CD"/>
    <w:rsid w:val="00BF0932"/>
    <w:rsid w:val="00C040FC"/>
    <w:rsid w:val="00C04304"/>
    <w:rsid w:val="00C04D97"/>
    <w:rsid w:val="00C05FDB"/>
    <w:rsid w:val="00C14DC2"/>
    <w:rsid w:val="00C35DB5"/>
    <w:rsid w:val="00C36EB1"/>
    <w:rsid w:val="00C42784"/>
    <w:rsid w:val="00C42A4C"/>
    <w:rsid w:val="00C47DA4"/>
    <w:rsid w:val="00C61E82"/>
    <w:rsid w:val="00C64350"/>
    <w:rsid w:val="00C66D0E"/>
    <w:rsid w:val="00C67C3C"/>
    <w:rsid w:val="00C717FC"/>
    <w:rsid w:val="00C72EE1"/>
    <w:rsid w:val="00C746EF"/>
    <w:rsid w:val="00C76D22"/>
    <w:rsid w:val="00C76EEB"/>
    <w:rsid w:val="00C86882"/>
    <w:rsid w:val="00C91DF4"/>
    <w:rsid w:val="00C95F85"/>
    <w:rsid w:val="00CA3E7D"/>
    <w:rsid w:val="00CA416B"/>
    <w:rsid w:val="00CA73FE"/>
    <w:rsid w:val="00CB2007"/>
    <w:rsid w:val="00CB511D"/>
    <w:rsid w:val="00CB78B5"/>
    <w:rsid w:val="00CC0129"/>
    <w:rsid w:val="00CC2639"/>
    <w:rsid w:val="00CC3173"/>
    <w:rsid w:val="00CD1C86"/>
    <w:rsid w:val="00CD56C6"/>
    <w:rsid w:val="00CD5ADE"/>
    <w:rsid w:val="00CE2580"/>
    <w:rsid w:val="00CE6AA0"/>
    <w:rsid w:val="00CE75C1"/>
    <w:rsid w:val="00CF2C59"/>
    <w:rsid w:val="00CF649E"/>
    <w:rsid w:val="00CF7507"/>
    <w:rsid w:val="00D028C0"/>
    <w:rsid w:val="00D0412D"/>
    <w:rsid w:val="00D07B31"/>
    <w:rsid w:val="00D11F8A"/>
    <w:rsid w:val="00D1287F"/>
    <w:rsid w:val="00D13E0F"/>
    <w:rsid w:val="00D25A4C"/>
    <w:rsid w:val="00D34E28"/>
    <w:rsid w:val="00D35933"/>
    <w:rsid w:val="00D378A2"/>
    <w:rsid w:val="00D45126"/>
    <w:rsid w:val="00D4568B"/>
    <w:rsid w:val="00D50882"/>
    <w:rsid w:val="00D5259C"/>
    <w:rsid w:val="00D52E1B"/>
    <w:rsid w:val="00D568C3"/>
    <w:rsid w:val="00D60D0A"/>
    <w:rsid w:val="00D62ACC"/>
    <w:rsid w:val="00D64D89"/>
    <w:rsid w:val="00D66FAA"/>
    <w:rsid w:val="00D67887"/>
    <w:rsid w:val="00D74472"/>
    <w:rsid w:val="00D80998"/>
    <w:rsid w:val="00D82915"/>
    <w:rsid w:val="00D8408C"/>
    <w:rsid w:val="00D84F84"/>
    <w:rsid w:val="00D854C0"/>
    <w:rsid w:val="00D858D5"/>
    <w:rsid w:val="00D85D6F"/>
    <w:rsid w:val="00D875A6"/>
    <w:rsid w:val="00D92F79"/>
    <w:rsid w:val="00D95400"/>
    <w:rsid w:val="00D97835"/>
    <w:rsid w:val="00DB29BE"/>
    <w:rsid w:val="00DC546F"/>
    <w:rsid w:val="00DC7074"/>
    <w:rsid w:val="00DD3A1A"/>
    <w:rsid w:val="00DD4F5B"/>
    <w:rsid w:val="00DD64A7"/>
    <w:rsid w:val="00DE0DD8"/>
    <w:rsid w:val="00DE37E4"/>
    <w:rsid w:val="00DE437C"/>
    <w:rsid w:val="00DE533F"/>
    <w:rsid w:val="00DF5125"/>
    <w:rsid w:val="00E019BE"/>
    <w:rsid w:val="00E021AB"/>
    <w:rsid w:val="00E11638"/>
    <w:rsid w:val="00E11883"/>
    <w:rsid w:val="00E12504"/>
    <w:rsid w:val="00E14DFD"/>
    <w:rsid w:val="00E302D6"/>
    <w:rsid w:val="00E30F1B"/>
    <w:rsid w:val="00E31D39"/>
    <w:rsid w:val="00E33A18"/>
    <w:rsid w:val="00E445A7"/>
    <w:rsid w:val="00E46395"/>
    <w:rsid w:val="00E56FE5"/>
    <w:rsid w:val="00E663F4"/>
    <w:rsid w:val="00E7243E"/>
    <w:rsid w:val="00E732A9"/>
    <w:rsid w:val="00E74B81"/>
    <w:rsid w:val="00E76618"/>
    <w:rsid w:val="00E81BE4"/>
    <w:rsid w:val="00E8250E"/>
    <w:rsid w:val="00E845BE"/>
    <w:rsid w:val="00E8544C"/>
    <w:rsid w:val="00E94F21"/>
    <w:rsid w:val="00E96455"/>
    <w:rsid w:val="00EA03AF"/>
    <w:rsid w:val="00EA0672"/>
    <w:rsid w:val="00EA2AD6"/>
    <w:rsid w:val="00EA3261"/>
    <w:rsid w:val="00EB2CCD"/>
    <w:rsid w:val="00EB6319"/>
    <w:rsid w:val="00EB7A0A"/>
    <w:rsid w:val="00ED02F0"/>
    <w:rsid w:val="00ED11DB"/>
    <w:rsid w:val="00ED1DB9"/>
    <w:rsid w:val="00ED4430"/>
    <w:rsid w:val="00EE0CF3"/>
    <w:rsid w:val="00EE5F13"/>
    <w:rsid w:val="00EF0143"/>
    <w:rsid w:val="00EF3E36"/>
    <w:rsid w:val="00EF40F5"/>
    <w:rsid w:val="00EF6AEA"/>
    <w:rsid w:val="00EF6CC3"/>
    <w:rsid w:val="00F06C88"/>
    <w:rsid w:val="00F11FB6"/>
    <w:rsid w:val="00F13B8B"/>
    <w:rsid w:val="00F1471A"/>
    <w:rsid w:val="00F32FE2"/>
    <w:rsid w:val="00F346D3"/>
    <w:rsid w:val="00F34EE1"/>
    <w:rsid w:val="00F4482D"/>
    <w:rsid w:val="00F52CAE"/>
    <w:rsid w:val="00F56832"/>
    <w:rsid w:val="00F5751F"/>
    <w:rsid w:val="00F75745"/>
    <w:rsid w:val="00F76FFD"/>
    <w:rsid w:val="00F828F4"/>
    <w:rsid w:val="00F858DF"/>
    <w:rsid w:val="00FA1392"/>
    <w:rsid w:val="00FA49B0"/>
    <w:rsid w:val="00FB0597"/>
    <w:rsid w:val="00FB1735"/>
    <w:rsid w:val="00FB3641"/>
    <w:rsid w:val="00FC0D56"/>
    <w:rsid w:val="00FC1D04"/>
    <w:rsid w:val="00FC2935"/>
    <w:rsid w:val="00FC5631"/>
    <w:rsid w:val="00FC5A72"/>
    <w:rsid w:val="00FD223D"/>
    <w:rsid w:val="00FD682A"/>
    <w:rsid w:val="00FD6F0A"/>
    <w:rsid w:val="00FE024E"/>
    <w:rsid w:val="00FE4DEB"/>
    <w:rsid w:val="00FE60FD"/>
    <w:rsid w:val="00FF0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16</Pages>
  <Words>10199</Words>
  <Characters>58136</Characters>
  <Application>Microsoft Office Word</Application>
  <DocSecurity>0</DocSecurity>
  <Lines>484</Lines>
  <Paragraphs>136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Gabriel Rovesti</cp:lastModifiedBy>
  <cp:revision>548</cp:revision>
  <dcterms:created xsi:type="dcterms:W3CDTF">2022-03-04T08:02:00Z</dcterms:created>
  <dcterms:modified xsi:type="dcterms:W3CDTF">2022-04-08T16:51:00Z</dcterms:modified>
</cp:coreProperties>
</file>