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45CE4D" w14:textId="0D6750C4" w:rsidR="00630F72" w:rsidRPr="00F761E6" w:rsidRDefault="00630F72" w:rsidP="00630F72">
      <w:pPr>
        <w:spacing w:after="0"/>
        <w:jc w:val="both"/>
        <w:rPr>
          <w:sz w:val="24"/>
          <w:szCs w:val="24"/>
          <w:lang w:val="it-IT"/>
        </w:rPr>
      </w:pPr>
      <w:r w:rsidRPr="00F761E6">
        <w:rPr>
          <w:b/>
          <w:bCs/>
          <w:sz w:val="28"/>
          <w:szCs w:val="28"/>
          <w:lang w:val="it-IT"/>
        </w:rPr>
        <w:t xml:space="preserve">Slide 1 - </w:t>
      </w:r>
      <w:proofErr w:type="spellStart"/>
      <w:r w:rsidR="005A7FC6" w:rsidRPr="00F761E6">
        <w:rPr>
          <w:b/>
          <w:bCs/>
          <w:sz w:val="28"/>
          <w:szCs w:val="28"/>
          <w:lang w:val="it-IT"/>
        </w:rPr>
        <w:t>Introduction</w:t>
      </w:r>
      <w:proofErr w:type="spellEnd"/>
      <w:r w:rsidRPr="00F761E6">
        <w:rPr>
          <w:b/>
          <w:bCs/>
          <w:sz w:val="28"/>
          <w:szCs w:val="28"/>
          <w:lang w:val="it-IT"/>
        </w:rPr>
        <w:t xml:space="preserve"> </w:t>
      </w:r>
    </w:p>
    <w:p w14:paraId="19083099" w14:textId="77777777" w:rsidR="00630F72" w:rsidRPr="00F761E6" w:rsidRDefault="00630F72" w:rsidP="00630F72">
      <w:pPr>
        <w:spacing w:after="0"/>
        <w:jc w:val="both"/>
        <w:rPr>
          <w:sz w:val="24"/>
          <w:szCs w:val="24"/>
          <w:lang w:val="it-IT"/>
        </w:rPr>
      </w:pPr>
    </w:p>
    <w:p w14:paraId="19F2305D" w14:textId="76576F34" w:rsidR="005C0EBF" w:rsidRDefault="005F218D" w:rsidP="00630F72">
      <w:pPr>
        <w:spacing w:after="0"/>
        <w:jc w:val="both"/>
        <w:rPr>
          <w:sz w:val="24"/>
          <w:szCs w:val="24"/>
          <w:lang w:val="it-IT"/>
        </w:rPr>
      </w:pPr>
      <w:r>
        <w:rPr>
          <w:sz w:val="24"/>
          <w:szCs w:val="24"/>
          <w:lang w:val="it-IT"/>
        </w:rPr>
        <w:t xml:space="preserve">Nel mondo del </w:t>
      </w:r>
      <w:proofErr w:type="spellStart"/>
      <w:r>
        <w:rPr>
          <w:sz w:val="24"/>
          <w:szCs w:val="24"/>
          <w:lang w:val="it-IT"/>
        </w:rPr>
        <w:t>digital</w:t>
      </w:r>
      <w:proofErr w:type="spellEnd"/>
      <w:r>
        <w:rPr>
          <w:sz w:val="24"/>
          <w:szCs w:val="24"/>
          <w:lang w:val="it-IT"/>
        </w:rPr>
        <w:t xml:space="preserve"> banking la capacità di adattamento e ottimizzazione dei servizi IT </w:t>
      </w:r>
      <w:r w:rsidR="00C21ADC">
        <w:rPr>
          <w:sz w:val="24"/>
          <w:szCs w:val="24"/>
          <w:lang w:val="it-IT"/>
        </w:rPr>
        <w:t xml:space="preserve">offerti </w:t>
      </w:r>
      <w:r>
        <w:rPr>
          <w:sz w:val="24"/>
          <w:szCs w:val="24"/>
          <w:lang w:val="it-IT"/>
        </w:rPr>
        <w:t>è di fondamentale importanza per mantenere un vantaggio e distinguersi tra i vari competitor nel mercato.</w:t>
      </w:r>
      <w:r w:rsidR="00C21ADC">
        <w:rPr>
          <w:sz w:val="24"/>
          <w:szCs w:val="24"/>
          <w:lang w:val="it-IT"/>
        </w:rPr>
        <w:t xml:space="preserve"> Il progetto da noi svolto si focalizza sullo sviluppo di un piano ad alto livello per la dismissione di due servizi IT offerti dalla banca, con l’obiettivo di eseguire una transizione in linea con gli obiettivi della banca</w:t>
      </w:r>
      <w:r w:rsidR="0091371C">
        <w:rPr>
          <w:sz w:val="24"/>
          <w:szCs w:val="24"/>
          <w:lang w:val="it-IT"/>
        </w:rPr>
        <w:t xml:space="preserve"> stessa</w:t>
      </w:r>
      <w:r w:rsidR="00C21ADC">
        <w:rPr>
          <w:sz w:val="24"/>
          <w:szCs w:val="24"/>
          <w:lang w:val="it-IT"/>
        </w:rPr>
        <w:t xml:space="preserve"> e che eviti pesanti interruzioni </w:t>
      </w:r>
      <w:r w:rsidR="0091371C">
        <w:rPr>
          <w:sz w:val="24"/>
          <w:szCs w:val="24"/>
          <w:lang w:val="it-IT"/>
        </w:rPr>
        <w:t>negli altri servizi erogati</w:t>
      </w:r>
      <w:r w:rsidR="00C21ADC">
        <w:rPr>
          <w:sz w:val="24"/>
          <w:szCs w:val="24"/>
          <w:lang w:val="it-IT"/>
        </w:rPr>
        <w:t xml:space="preserve">. </w:t>
      </w:r>
    </w:p>
    <w:p w14:paraId="6A3D2224" w14:textId="5D79D538" w:rsidR="00630F72" w:rsidRPr="005F218D" w:rsidRDefault="0091371C" w:rsidP="00630F72">
      <w:pPr>
        <w:spacing w:after="0"/>
        <w:jc w:val="both"/>
        <w:rPr>
          <w:sz w:val="24"/>
          <w:szCs w:val="24"/>
          <w:lang w:val="it-IT"/>
        </w:rPr>
      </w:pPr>
      <w:r>
        <w:rPr>
          <w:sz w:val="24"/>
          <w:szCs w:val="24"/>
          <w:lang w:val="it-IT"/>
        </w:rPr>
        <w:t xml:space="preserve">In particolare, nel documento abbiamo tenuto in considerazione il coinvolgimento delle </w:t>
      </w:r>
      <w:r w:rsidR="00C8019A">
        <w:rPr>
          <w:sz w:val="24"/>
          <w:szCs w:val="24"/>
          <w:lang w:val="it-IT"/>
        </w:rPr>
        <w:t>linee guida</w:t>
      </w:r>
      <w:r>
        <w:rPr>
          <w:sz w:val="24"/>
          <w:szCs w:val="24"/>
          <w:lang w:val="it-IT"/>
        </w:rPr>
        <w:t xml:space="preserve"> di IT Service Management in relazione al framework ITIL4, valutando potenziali rischi e assicurando un decommissioning plan in linea con </w:t>
      </w:r>
      <w:r w:rsidR="00FE0E61">
        <w:rPr>
          <w:sz w:val="24"/>
          <w:szCs w:val="24"/>
          <w:lang w:val="it-IT"/>
        </w:rPr>
        <w:t>la visione della banca</w:t>
      </w:r>
      <w:r>
        <w:rPr>
          <w:sz w:val="24"/>
          <w:szCs w:val="24"/>
          <w:lang w:val="it-IT"/>
        </w:rPr>
        <w:t xml:space="preserve">.  </w:t>
      </w:r>
    </w:p>
    <w:p w14:paraId="62569D84" w14:textId="77777777" w:rsidR="00630F72" w:rsidRPr="005F218D" w:rsidRDefault="00630F72" w:rsidP="00332062">
      <w:pPr>
        <w:spacing w:after="0"/>
        <w:jc w:val="both"/>
        <w:rPr>
          <w:sz w:val="24"/>
          <w:szCs w:val="24"/>
          <w:lang w:val="it-IT"/>
        </w:rPr>
      </w:pPr>
    </w:p>
    <w:p w14:paraId="1D792A02" w14:textId="77777777" w:rsidR="00630F72" w:rsidRPr="005F218D" w:rsidRDefault="00630F72" w:rsidP="00332062">
      <w:pPr>
        <w:spacing w:after="0"/>
        <w:jc w:val="both"/>
        <w:rPr>
          <w:sz w:val="24"/>
          <w:szCs w:val="24"/>
          <w:lang w:val="it-IT"/>
        </w:rPr>
      </w:pPr>
    </w:p>
    <w:p w14:paraId="73C242A6" w14:textId="2FE5C9BD" w:rsidR="00366191" w:rsidRPr="00F761E6" w:rsidRDefault="00332062" w:rsidP="00332062">
      <w:pPr>
        <w:spacing w:after="0"/>
        <w:jc w:val="both"/>
        <w:rPr>
          <w:sz w:val="24"/>
          <w:szCs w:val="24"/>
          <w:lang w:val="it-IT"/>
        </w:rPr>
      </w:pPr>
      <w:r w:rsidRPr="00F761E6">
        <w:rPr>
          <w:b/>
          <w:bCs/>
          <w:sz w:val="28"/>
          <w:szCs w:val="28"/>
          <w:lang w:val="it-IT"/>
        </w:rPr>
        <w:t xml:space="preserve">Slide 2 - Bank </w:t>
      </w:r>
      <w:proofErr w:type="spellStart"/>
      <w:r w:rsidRPr="00F761E6">
        <w:rPr>
          <w:b/>
          <w:bCs/>
          <w:sz w:val="28"/>
          <w:szCs w:val="28"/>
          <w:lang w:val="it-IT"/>
        </w:rPr>
        <w:t>overview</w:t>
      </w:r>
      <w:proofErr w:type="spellEnd"/>
    </w:p>
    <w:p w14:paraId="4BEBCF7C" w14:textId="77777777" w:rsidR="00332062" w:rsidRPr="00F761E6" w:rsidRDefault="00332062" w:rsidP="00332062">
      <w:pPr>
        <w:spacing w:after="0"/>
        <w:jc w:val="both"/>
        <w:rPr>
          <w:sz w:val="24"/>
          <w:szCs w:val="24"/>
          <w:lang w:val="it-IT"/>
        </w:rPr>
      </w:pPr>
    </w:p>
    <w:p w14:paraId="478F947C" w14:textId="14266FD2" w:rsidR="00332062" w:rsidRDefault="00861295" w:rsidP="00600C94">
      <w:pPr>
        <w:spacing w:after="60"/>
        <w:jc w:val="both"/>
        <w:rPr>
          <w:sz w:val="24"/>
          <w:szCs w:val="24"/>
          <w:lang w:val="it-IT"/>
        </w:rPr>
      </w:pPr>
      <w:r w:rsidRPr="00861295">
        <w:rPr>
          <w:sz w:val="24"/>
          <w:szCs w:val="24"/>
          <w:lang w:val="it-IT"/>
        </w:rPr>
        <w:t>Prima di</w:t>
      </w:r>
      <w:r>
        <w:rPr>
          <w:sz w:val="24"/>
          <w:szCs w:val="24"/>
          <w:lang w:val="it-IT"/>
        </w:rPr>
        <w:t xml:space="preserve"> discutere in dettaglio il piano di </w:t>
      </w:r>
      <w:r w:rsidR="005651AF">
        <w:rPr>
          <w:sz w:val="24"/>
          <w:szCs w:val="24"/>
          <w:lang w:val="it-IT"/>
        </w:rPr>
        <w:t>decommissioning</w:t>
      </w:r>
      <w:r>
        <w:rPr>
          <w:sz w:val="24"/>
          <w:szCs w:val="24"/>
          <w:lang w:val="it-IT"/>
        </w:rPr>
        <w:t xml:space="preserve"> consideriamo lo scenario attuale della banca in modo da definire quella che è stata la nostra base di partenza. </w:t>
      </w:r>
    </w:p>
    <w:p w14:paraId="50B872D7" w14:textId="10F64F5A" w:rsidR="0065324B" w:rsidRDefault="00C75B7F" w:rsidP="00600C94">
      <w:pPr>
        <w:pStyle w:val="Paragrafoelenco"/>
        <w:numPr>
          <w:ilvl w:val="0"/>
          <w:numId w:val="1"/>
        </w:numPr>
        <w:spacing w:after="60"/>
        <w:contextualSpacing w:val="0"/>
        <w:jc w:val="both"/>
        <w:rPr>
          <w:sz w:val="24"/>
          <w:szCs w:val="24"/>
          <w:lang w:val="it-IT"/>
        </w:rPr>
      </w:pPr>
      <w:r w:rsidRPr="00144A48">
        <w:rPr>
          <w:sz w:val="24"/>
          <w:szCs w:val="24"/>
          <w:lang w:val="it-IT"/>
        </w:rPr>
        <w:t>Il focus della banca è fortemente orientato all’espansione, recentemente la banca ha esteso le sue operazioni in altre nazioni attraverso partnership e acquisizioni</w:t>
      </w:r>
      <w:r w:rsidR="00227031">
        <w:rPr>
          <w:sz w:val="24"/>
          <w:szCs w:val="24"/>
          <w:lang w:val="it-IT"/>
        </w:rPr>
        <w:t>.</w:t>
      </w:r>
      <w:r w:rsidRPr="00144A48">
        <w:rPr>
          <w:sz w:val="24"/>
          <w:szCs w:val="24"/>
          <w:lang w:val="it-IT"/>
        </w:rPr>
        <w:t xml:space="preserve"> </w:t>
      </w:r>
      <w:r w:rsidR="00227031">
        <w:rPr>
          <w:sz w:val="24"/>
          <w:szCs w:val="24"/>
          <w:lang w:val="it-IT"/>
        </w:rPr>
        <w:t>T</w:t>
      </w:r>
      <w:r w:rsidRPr="00144A48">
        <w:rPr>
          <w:sz w:val="24"/>
          <w:szCs w:val="24"/>
          <w:lang w:val="it-IT"/>
        </w:rPr>
        <w:t>uttavia</w:t>
      </w:r>
      <w:r w:rsidR="00E910C1">
        <w:rPr>
          <w:sz w:val="24"/>
          <w:szCs w:val="24"/>
          <w:lang w:val="it-IT"/>
        </w:rPr>
        <w:t xml:space="preserve"> </w:t>
      </w:r>
      <w:r w:rsidRPr="00144A48">
        <w:rPr>
          <w:sz w:val="24"/>
          <w:szCs w:val="24"/>
          <w:lang w:val="it-IT"/>
        </w:rPr>
        <w:t xml:space="preserve">questo ha condotto a </w:t>
      </w:r>
      <w:r w:rsidR="00144A48">
        <w:rPr>
          <w:sz w:val="24"/>
          <w:szCs w:val="24"/>
          <w:lang w:val="it-IT"/>
        </w:rPr>
        <w:t xml:space="preserve">maggiori </w:t>
      </w:r>
      <w:r w:rsidRPr="00144A48">
        <w:rPr>
          <w:sz w:val="24"/>
          <w:szCs w:val="24"/>
          <w:lang w:val="it-IT"/>
        </w:rPr>
        <w:t xml:space="preserve">sfide nella gestione dei servizi erogati, </w:t>
      </w:r>
      <w:r w:rsidR="00144A48">
        <w:rPr>
          <w:sz w:val="24"/>
          <w:szCs w:val="24"/>
          <w:lang w:val="it-IT"/>
        </w:rPr>
        <w:t>dovendo essere allineati con regole e orari differenti per ciascun</w:t>
      </w:r>
      <w:r w:rsidR="00915E9E">
        <w:rPr>
          <w:sz w:val="24"/>
          <w:szCs w:val="24"/>
          <w:lang w:val="it-IT"/>
        </w:rPr>
        <w:t xml:space="preserve"> paese</w:t>
      </w:r>
      <w:r w:rsidRPr="00144A48">
        <w:rPr>
          <w:sz w:val="24"/>
          <w:szCs w:val="24"/>
          <w:lang w:val="it-IT"/>
        </w:rPr>
        <w:t xml:space="preserve">. </w:t>
      </w:r>
    </w:p>
    <w:p w14:paraId="25E400DB" w14:textId="29CF205A" w:rsidR="00144A48" w:rsidRDefault="00E910C1" w:rsidP="00600C94">
      <w:pPr>
        <w:pStyle w:val="Paragrafoelenco"/>
        <w:numPr>
          <w:ilvl w:val="0"/>
          <w:numId w:val="1"/>
        </w:numPr>
        <w:spacing w:after="60"/>
        <w:contextualSpacing w:val="0"/>
        <w:jc w:val="both"/>
        <w:rPr>
          <w:sz w:val="24"/>
          <w:szCs w:val="24"/>
          <w:lang w:val="it-IT"/>
        </w:rPr>
      </w:pPr>
      <w:r>
        <w:rPr>
          <w:sz w:val="24"/>
          <w:szCs w:val="24"/>
          <w:lang w:val="it-IT"/>
        </w:rPr>
        <w:t xml:space="preserve">La struttura attuale della banca, utilizzata per definire ruoli e responsabilità nel decommissioning plan, viene qui riportata. La banca è organizzata in divisioni proprie e non proprie con un intero dipartimento dedicato all’ambito IT e comprendente diverse unità che gestiscono i diversi aspetti dei servizi IT, ad esempio: strategie, progettazione, implementazione. </w:t>
      </w:r>
    </w:p>
    <w:p w14:paraId="5456DA45" w14:textId="06699963" w:rsidR="00332062" w:rsidRPr="0068433A" w:rsidRDefault="00053E0B" w:rsidP="00332062">
      <w:pPr>
        <w:pStyle w:val="Paragrafoelenco"/>
        <w:numPr>
          <w:ilvl w:val="0"/>
          <w:numId w:val="1"/>
        </w:numPr>
        <w:spacing w:after="0"/>
        <w:jc w:val="both"/>
        <w:rPr>
          <w:sz w:val="24"/>
          <w:szCs w:val="24"/>
          <w:lang w:val="it-IT"/>
        </w:rPr>
      </w:pPr>
      <w:r w:rsidRPr="0068433A">
        <w:rPr>
          <w:sz w:val="24"/>
          <w:szCs w:val="24"/>
          <w:lang w:val="it-IT"/>
        </w:rPr>
        <w:t xml:space="preserve">Attualmente la banca utilizza due servizi di connettività remota per consentire al proprio personale di svolgere le operazioni quotidiane </w:t>
      </w:r>
      <w:r w:rsidR="0091201D" w:rsidRPr="0068433A">
        <w:rPr>
          <w:sz w:val="24"/>
          <w:szCs w:val="24"/>
          <w:lang w:val="it-IT"/>
        </w:rPr>
        <w:t>connettendosi ai sistemi bancari</w:t>
      </w:r>
      <w:r w:rsidR="004401BE" w:rsidRPr="0068433A">
        <w:rPr>
          <w:sz w:val="24"/>
          <w:szCs w:val="24"/>
          <w:lang w:val="it-IT"/>
        </w:rPr>
        <w:t xml:space="preserve">. </w:t>
      </w:r>
    </w:p>
    <w:p w14:paraId="57A54518" w14:textId="77777777" w:rsidR="00332062" w:rsidRDefault="00332062" w:rsidP="00332062">
      <w:pPr>
        <w:spacing w:after="0"/>
        <w:jc w:val="both"/>
        <w:rPr>
          <w:sz w:val="24"/>
          <w:szCs w:val="24"/>
          <w:lang w:val="it-IT"/>
        </w:rPr>
      </w:pPr>
    </w:p>
    <w:p w14:paraId="07BA18B9" w14:textId="77777777" w:rsidR="0068433A" w:rsidRPr="00861295" w:rsidRDefault="0068433A" w:rsidP="00332062">
      <w:pPr>
        <w:spacing w:after="0"/>
        <w:jc w:val="both"/>
        <w:rPr>
          <w:sz w:val="24"/>
          <w:szCs w:val="24"/>
          <w:lang w:val="it-IT"/>
        </w:rPr>
      </w:pPr>
    </w:p>
    <w:p w14:paraId="7A11C4D5" w14:textId="2EB9D806" w:rsidR="00332062" w:rsidRPr="00F761E6" w:rsidRDefault="00332062" w:rsidP="00332062">
      <w:pPr>
        <w:spacing w:after="0"/>
        <w:jc w:val="both"/>
        <w:rPr>
          <w:sz w:val="24"/>
          <w:szCs w:val="24"/>
          <w:lang w:val="it-IT"/>
        </w:rPr>
      </w:pPr>
      <w:r w:rsidRPr="00F761E6">
        <w:rPr>
          <w:b/>
          <w:bCs/>
          <w:sz w:val="28"/>
          <w:szCs w:val="28"/>
          <w:lang w:val="it-IT"/>
        </w:rPr>
        <w:t xml:space="preserve">Slide 3 </w:t>
      </w:r>
      <w:r w:rsidR="002F46CC" w:rsidRPr="00F761E6">
        <w:rPr>
          <w:b/>
          <w:bCs/>
          <w:sz w:val="28"/>
          <w:szCs w:val="28"/>
          <w:lang w:val="it-IT"/>
        </w:rPr>
        <w:t>-</w:t>
      </w:r>
      <w:r w:rsidRPr="00F761E6">
        <w:rPr>
          <w:b/>
          <w:bCs/>
          <w:sz w:val="28"/>
          <w:szCs w:val="28"/>
          <w:lang w:val="it-IT"/>
        </w:rPr>
        <w:t xml:space="preserve"> </w:t>
      </w:r>
      <w:r w:rsidR="002F46CC" w:rsidRPr="00F761E6">
        <w:rPr>
          <w:b/>
          <w:bCs/>
          <w:sz w:val="28"/>
          <w:szCs w:val="28"/>
          <w:lang w:val="it-IT"/>
        </w:rPr>
        <w:t xml:space="preserve">Scenario </w:t>
      </w:r>
      <w:proofErr w:type="spellStart"/>
      <w:r w:rsidR="002F46CC" w:rsidRPr="00F761E6">
        <w:rPr>
          <w:b/>
          <w:bCs/>
          <w:sz w:val="28"/>
          <w:szCs w:val="28"/>
          <w:lang w:val="it-IT"/>
        </w:rPr>
        <w:t>analysis</w:t>
      </w:r>
      <w:proofErr w:type="spellEnd"/>
    </w:p>
    <w:p w14:paraId="16B90E93" w14:textId="77777777" w:rsidR="00332062" w:rsidRPr="00F761E6" w:rsidRDefault="00332062" w:rsidP="00332062">
      <w:pPr>
        <w:spacing w:after="0"/>
        <w:jc w:val="both"/>
        <w:rPr>
          <w:sz w:val="24"/>
          <w:szCs w:val="24"/>
          <w:lang w:val="it-IT"/>
        </w:rPr>
      </w:pPr>
    </w:p>
    <w:p w14:paraId="423A6957" w14:textId="77777777" w:rsidR="00D82B3E" w:rsidRDefault="0068433A" w:rsidP="00332062">
      <w:pPr>
        <w:spacing w:after="0"/>
        <w:jc w:val="both"/>
        <w:rPr>
          <w:sz w:val="24"/>
          <w:szCs w:val="24"/>
          <w:lang w:val="it-IT"/>
        </w:rPr>
      </w:pPr>
      <w:r w:rsidRPr="0068433A">
        <w:rPr>
          <w:sz w:val="24"/>
          <w:szCs w:val="24"/>
          <w:lang w:val="it-IT"/>
        </w:rPr>
        <w:t>I due servizi di c</w:t>
      </w:r>
      <w:r>
        <w:rPr>
          <w:sz w:val="24"/>
          <w:szCs w:val="24"/>
          <w:lang w:val="it-IT"/>
        </w:rPr>
        <w:t xml:space="preserve">onnettività, denominati rispettivamente “Home Connectivity” e “USB Connectivity” sono stati introdotti dalla banca 7 anni fa e prevedono entrambi una serie di costi mensili per usufruire degli stessi. </w:t>
      </w:r>
      <w:r w:rsidR="000A3BDB">
        <w:rPr>
          <w:sz w:val="24"/>
          <w:szCs w:val="24"/>
          <w:lang w:val="it-IT"/>
        </w:rPr>
        <w:t xml:space="preserve">La banca ha tuttavia ritenuto necessario dismettere tali servizi poiché presentano diversi svantaggi comparati ad una soluzione più moderna come la “Token Connectivity”. </w:t>
      </w:r>
    </w:p>
    <w:p w14:paraId="5470E628" w14:textId="68B96FB8" w:rsidR="00332062" w:rsidRDefault="000A3BDB" w:rsidP="00332062">
      <w:pPr>
        <w:spacing w:after="0"/>
        <w:jc w:val="both"/>
        <w:rPr>
          <w:sz w:val="24"/>
          <w:szCs w:val="24"/>
          <w:lang w:val="it-IT"/>
        </w:rPr>
      </w:pPr>
      <w:r>
        <w:rPr>
          <w:sz w:val="24"/>
          <w:szCs w:val="24"/>
          <w:lang w:val="it-IT"/>
        </w:rPr>
        <w:t>Svantaggi in termini di cos</w:t>
      </w:r>
      <w:r w:rsidR="00D82B3E">
        <w:rPr>
          <w:sz w:val="24"/>
          <w:szCs w:val="24"/>
          <w:lang w:val="it-IT"/>
        </w:rPr>
        <w:t>t</w:t>
      </w:r>
      <w:r>
        <w:rPr>
          <w:sz w:val="24"/>
          <w:szCs w:val="24"/>
          <w:lang w:val="it-IT"/>
        </w:rPr>
        <w:t>i, limitata flessibilità</w:t>
      </w:r>
      <w:r w:rsidR="00D82B3E">
        <w:rPr>
          <w:sz w:val="24"/>
          <w:szCs w:val="24"/>
          <w:lang w:val="it-IT"/>
        </w:rPr>
        <w:t xml:space="preserve">, scalabilità e gestione </w:t>
      </w:r>
      <w:r>
        <w:rPr>
          <w:sz w:val="24"/>
          <w:szCs w:val="24"/>
          <w:lang w:val="it-IT"/>
        </w:rPr>
        <w:t xml:space="preserve">che si </w:t>
      </w:r>
      <w:r w:rsidR="00D82B3E">
        <w:rPr>
          <w:sz w:val="24"/>
          <w:szCs w:val="24"/>
          <w:lang w:val="it-IT"/>
        </w:rPr>
        <w:t>pongono come ostacoli</w:t>
      </w:r>
      <w:r>
        <w:rPr>
          <w:sz w:val="24"/>
          <w:szCs w:val="24"/>
          <w:lang w:val="it-IT"/>
        </w:rPr>
        <w:t xml:space="preserve"> al piano di continua espansione della banca</w:t>
      </w:r>
      <w:r w:rsidR="00152538">
        <w:rPr>
          <w:sz w:val="24"/>
          <w:szCs w:val="24"/>
          <w:lang w:val="it-IT"/>
        </w:rPr>
        <w:t xml:space="preserve">. </w:t>
      </w:r>
      <w:r w:rsidR="004D3B4F">
        <w:rPr>
          <w:sz w:val="24"/>
          <w:szCs w:val="24"/>
          <w:lang w:val="it-IT"/>
        </w:rPr>
        <w:t>Inoltre,</w:t>
      </w:r>
      <w:r w:rsidR="00152538">
        <w:rPr>
          <w:sz w:val="24"/>
          <w:szCs w:val="24"/>
          <w:lang w:val="it-IT"/>
        </w:rPr>
        <w:t xml:space="preserve"> una tecnologia ormai obsoleta come quella USB può condurre a problemi di sicurezza in caso di furti o perdite. </w:t>
      </w:r>
    </w:p>
    <w:p w14:paraId="30763E48" w14:textId="5965923C" w:rsidR="004D3B4F" w:rsidRPr="0068433A" w:rsidRDefault="004D3B4F" w:rsidP="00332062">
      <w:pPr>
        <w:spacing w:after="0"/>
        <w:jc w:val="both"/>
        <w:rPr>
          <w:sz w:val="24"/>
          <w:szCs w:val="24"/>
          <w:lang w:val="it-IT"/>
        </w:rPr>
      </w:pPr>
      <w:r>
        <w:rPr>
          <w:sz w:val="24"/>
          <w:szCs w:val="24"/>
          <w:lang w:val="it-IT"/>
        </w:rPr>
        <w:t>La banca ha l’opportunità di rivoluzionare i propri servizi di connettività al fine di renderli più moderni, scalabili e sicuri utilizzando una connettività via token, oltretutto decisamente meno dispendiosa in termin</w:t>
      </w:r>
      <w:r w:rsidR="0080323A">
        <w:rPr>
          <w:sz w:val="24"/>
          <w:szCs w:val="24"/>
          <w:lang w:val="it-IT"/>
        </w:rPr>
        <w:t>i</w:t>
      </w:r>
      <w:r>
        <w:rPr>
          <w:sz w:val="24"/>
          <w:szCs w:val="24"/>
          <w:lang w:val="it-IT"/>
        </w:rPr>
        <w:t xml:space="preserve"> economici dei due servizi attuali.</w:t>
      </w:r>
      <w:r w:rsidR="006B6416">
        <w:rPr>
          <w:sz w:val="24"/>
          <w:szCs w:val="24"/>
          <w:lang w:val="it-IT"/>
        </w:rPr>
        <w:t xml:space="preserve"> </w:t>
      </w:r>
    </w:p>
    <w:p w14:paraId="305CFAE4" w14:textId="77777777" w:rsidR="00332062" w:rsidRPr="0068433A" w:rsidRDefault="00332062" w:rsidP="00332062">
      <w:pPr>
        <w:spacing w:after="0"/>
        <w:jc w:val="both"/>
        <w:rPr>
          <w:sz w:val="24"/>
          <w:szCs w:val="24"/>
          <w:lang w:val="it-IT"/>
        </w:rPr>
      </w:pPr>
    </w:p>
    <w:p w14:paraId="73884A2E" w14:textId="77777777" w:rsidR="00332062" w:rsidRPr="0068433A" w:rsidRDefault="00332062" w:rsidP="00332062">
      <w:pPr>
        <w:spacing w:after="0"/>
        <w:jc w:val="both"/>
        <w:rPr>
          <w:sz w:val="24"/>
          <w:szCs w:val="24"/>
          <w:lang w:val="it-IT"/>
        </w:rPr>
      </w:pPr>
    </w:p>
    <w:p w14:paraId="44D3DEC9" w14:textId="06C8463D" w:rsidR="00332062" w:rsidRPr="00F761E6" w:rsidRDefault="00332062" w:rsidP="00332062">
      <w:pPr>
        <w:spacing w:after="0"/>
        <w:jc w:val="both"/>
        <w:rPr>
          <w:sz w:val="24"/>
          <w:szCs w:val="24"/>
          <w:lang w:val="it-IT"/>
        </w:rPr>
      </w:pPr>
      <w:r w:rsidRPr="00F761E6">
        <w:rPr>
          <w:b/>
          <w:bCs/>
          <w:sz w:val="28"/>
          <w:szCs w:val="28"/>
          <w:lang w:val="it-IT"/>
        </w:rPr>
        <w:lastRenderedPageBreak/>
        <w:t xml:space="preserve">Slide 4 - </w:t>
      </w:r>
      <w:r w:rsidR="002F46CC" w:rsidRPr="00F761E6">
        <w:rPr>
          <w:b/>
          <w:bCs/>
          <w:sz w:val="28"/>
          <w:szCs w:val="28"/>
          <w:lang w:val="it-IT"/>
        </w:rPr>
        <w:t>Decommissioning plan</w:t>
      </w:r>
    </w:p>
    <w:p w14:paraId="0F16A2C2" w14:textId="77777777" w:rsidR="00332062" w:rsidRPr="00F761E6" w:rsidRDefault="00332062" w:rsidP="00332062">
      <w:pPr>
        <w:spacing w:after="0"/>
        <w:jc w:val="both"/>
        <w:rPr>
          <w:sz w:val="24"/>
          <w:szCs w:val="24"/>
          <w:lang w:val="it-IT"/>
        </w:rPr>
      </w:pPr>
    </w:p>
    <w:p w14:paraId="47729B51" w14:textId="06515FAA" w:rsidR="002421EF" w:rsidRDefault="006B6416" w:rsidP="00F761E6">
      <w:pPr>
        <w:spacing w:after="60"/>
        <w:jc w:val="both"/>
        <w:rPr>
          <w:sz w:val="24"/>
          <w:szCs w:val="24"/>
          <w:lang w:val="it-IT"/>
        </w:rPr>
      </w:pPr>
      <w:r w:rsidRPr="006B6416">
        <w:rPr>
          <w:sz w:val="24"/>
          <w:szCs w:val="24"/>
          <w:lang w:val="it-IT"/>
        </w:rPr>
        <w:t xml:space="preserve">Diventa quindi necessario </w:t>
      </w:r>
      <w:r w:rsidR="002421EF">
        <w:rPr>
          <w:sz w:val="24"/>
          <w:szCs w:val="24"/>
          <w:lang w:val="it-IT"/>
        </w:rPr>
        <w:t>definire</w:t>
      </w:r>
      <w:r w:rsidRPr="006B6416">
        <w:rPr>
          <w:sz w:val="24"/>
          <w:szCs w:val="24"/>
          <w:lang w:val="it-IT"/>
        </w:rPr>
        <w:t xml:space="preserve"> u</w:t>
      </w:r>
      <w:r>
        <w:rPr>
          <w:sz w:val="24"/>
          <w:szCs w:val="24"/>
          <w:lang w:val="it-IT"/>
        </w:rPr>
        <w:t xml:space="preserve">n decommissioning plan in linea con gli obiettivi della banca e che tenga in considerazione le pratiche di IT Service Management in linea con il framework ITIL4 per assicurare una transizione liscia, determinando potenziali rischi </w:t>
      </w:r>
      <w:r w:rsidR="000569F7">
        <w:rPr>
          <w:sz w:val="24"/>
          <w:szCs w:val="24"/>
          <w:lang w:val="it-IT"/>
        </w:rPr>
        <w:t xml:space="preserve">e assicurando un risultato duraturo. </w:t>
      </w:r>
    </w:p>
    <w:p w14:paraId="707B4A07" w14:textId="171C4A77" w:rsidR="00332062" w:rsidRDefault="00F761E6" w:rsidP="00332062">
      <w:pPr>
        <w:spacing w:after="0"/>
        <w:jc w:val="both"/>
        <w:rPr>
          <w:sz w:val="24"/>
          <w:szCs w:val="24"/>
          <w:lang w:val="it-IT"/>
        </w:rPr>
      </w:pPr>
      <w:r>
        <w:rPr>
          <w:sz w:val="24"/>
          <w:szCs w:val="24"/>
          <w:lang w:val="it-IT"/>
        </w:rPr>
        <w:t>Nel documento a</w:t>
      </w:r>
      <w:r w:rsidR="002421EF">
        <w:rPr>
          <w:sz w:val="24"/>
          <w:szCs w:val="24"/>
          <w:lang w:val="it-IT"/>
        </w:rPr>
        <w:t xml:space="preserve">bbiamo evidenziato quanto la practice di “IT Asset Management” fosse centrale all’interno di questo piano e abbiamo basato lo stesso principalmente su questa practice che va a definire </w:t>
      </w:r>
      <w:r w:rsidR="005A7ED6">
        <w:rPr>
          <w:sz w:val="24"/>
          <w:szCs w:val="24"/>
          <w:lang w:val="it-IT"/>
        </w:rPr>
        <w:t xml:space="preserve">e gestire </w:t>
      </w:r>
      <w:r w:rsidR="00B81B99">
        <w:rPr>
          <w:sz w:val="24"/>
          <w:szCs w:val="24"/>
          <w:lang w:val="it-IT"/>
        </w:rPr>
        <w:t>l’intero ciclo di vita degli</w:t>
      </w:r>
      <w:r w:rsidR="005A7ED6">
        <w:rPr>
          <w:sz w:val="24"/>
          <w:szCs w:val="24"/>
          <w:lang w:val="it-IT"/>
        </w:rPr>
        <w:t xml:space="preserve"> asset aziendali, in questo caso </w:t>
      </w:r>
      <w:r w:rsidR="00AB14CF">
        <w:rPr>
          <w:sz w:val="24"/>
          <w:szCs w:val="24"/>
          <w:lang w:val="it-IT"/>
        </w:rPr>
        <w:t>legat</w:t>
      </w:r>
      <w:r w:rsidR="005A7ED6">
        <w:rPr>
          <w:sz w:val="24"/>
          <w:szCs w:val="24"/>
          <w:lang w:val="it-IT"/>
        </w:rPr>
        <w:t>i</w:t>
      </w:r>
      <w:r w:rsidR="00AB14CF">
        <w:rPr>
          <w:sz w:val="24"/>
          <w:szCs w:val="24"/>
          <w:lang w:val="it-IT"/>
        </w:rPr>
        <w:t xml:space="preserve"> ai</w:t>
      </w:r>
      <w:r w:rsidR="005A7ED6">
        <w:rPr>
          <w:sz w:val="24"/>
          <w:szCs w:val="24"/>
          <w:lang w:val="it-IT"/>
        </w:rPr>
        <w:t xml:space="preserve"> due servizi di connettività, </w:t>
      </w:r>
      <w:r w:rsidR="00B81B99">
        <w:rPr>
          <w:sz w:val="24"/>
          <w:szCs w:val="24"/>
          <w:lang w:val="it-IT"/>
        </w:rPr>
        <w:t xml:space="preserve">al fine di massimizzare il valore, controllare i costi, ridurre i rischi e disporre o ritirare gli stessi. </w:t>
      </w:r>
    </w:p>
    <w:p w14:paraId="0F856688" w14:textId="77777777" w:rsidR="00B3104E" w:rsidRDefault="00B3104E" w:rsidP="00332062">
      <w:pPr>
        <w:spacing w:after="0"/>
        <w:jc w:val="both"/>
        <w:rPr>
          <w:sz w:val="24"/>
          <w:szCs w:val="24"/>
          <w:lang w:val="it-IT"/>
        </w:rPr>
      </w:pPr>
    </w:p>
    <w:p w14:paraId="25FC60DA" w14:textId="73C7E99C" w:rsidR="00B3104E" w:rsidRDefault="004643C5" w:rsidP="004643C5">
      <w:pPr>
        <w:spacing w:after="60"/>
        <w:jc w:val="both"/>
        <w:rPr>
          <w:sz w:val="24"/>
          <w:szCs w:val="24"/>
          <w:lang w:val="it-IT"/>
        </w:rPr>
      </w:pPr>
      <w:r>
        <w:rPr>
          <w:sz w:val="24"/>
          <w:szCs w:val="24"/>
          <w:lang w:val="it-IT"/>
        </w:rPr>
        <w:t xml:space="preserve">Il piano ad alto livello si compone dei seguenti 7 passaggi: </w:t>
      </w:r>
    </w:p>
    <w:p w14:paraId="6E70022C" w14:textId="3AF49CB1" w:rsidR="004643C5" w:rsidRPr="004643C5" w:rsidRDefault="004643C5" w:rsidP="004643C5">
      <w:pPr>
        <w:pStyle w:val="Paragrafoelenco"/>
        <w:numPr>
          <w:ilvl w:val="0"/>
          <w:numId w:val="2"/>
        </w:numPr>
        <w:spacing w:after="60"/>
        <w:contextualSpacing w:val="0"/>
        <w:jc w:val="both"/>
        <w:rPr>
          <w:sz w:val="24"/>
          <w:szCs w:val="24"/>
          <w:lang w:val="it-IT"/>
        </w:rPr>
      </w:pPr>
      <w:r w:rsidRPr="004643C5">
        <w:rPr>
          <w:b/>
          <w:bCs/>
          <w:sz w:val="24"/>
          <w:szCs w:val="24"/>
          <w:lang w:val="it-IT"/>
        </w:rPr>
        <w:t>Identificazione e inventario degli asset IT</w:t>
      </w:r>
      <w:r w:rsidRPr="004643C5">
        <w:rPr>
          <w:sz w:val="24"/>
          <w:szCs w:val="24"/>
          <w:lang w:val="it-IT"/>
        </w:rPr>
        <w:t xml:space="preserve">: </w:t>
      </w:r>
      <w:r w:rsidR="00973775">
        <w:rPr>
          <w:sz w:val="24"/>
          <w:szCs w:val="24"/>
          <w:lang w:val="it-IT"/>
        </w:rPr>
        <w:t>c</w:t>
      </w:r>
      <w:r w:rsidRPr="004643C5">
        <w:rPr>
          <w:sz w:val="24"/>
          <w:szCs w:val="24"/>
          <w:lang w:val="it-IT"/>
        </w:rPr>
        <w:t>reare un inventario dettagliato degli asset IT associati ai servizi da dismettere, inclusi i costi, i fornitori e i contratti per gestire la dismissione in modo efficace.</w:t>
      </w:r>
    </w:p>
    <w:p w14:paraId="3B457A31" w14:textId="160890AF" w:rsidR="004643C5" w:rsidRPr="004643C5" w:rsidRDefault="004643C5" w:rsidP="004643C5">
      <w:pPr>
        <w:pStyle w:val="Paragrafoelenco"/>
        <w:numPr>
          <w:ilvl w:val="0"/>
          <w:numId w:val="2"/>
        </w:numPr>
        <w:spacing w:after="60"/>
        <w:contextualSpacing w:val="0"/>
        <w:jc w:val="both"/>
        <w:rPr>
          <w:sz w:val="24"/>
          <w:szCs w:val="24"/>
          <w:lang w:val="it-IT"/>
        </w:rPr>
      </w:pPr>
      <w:r w:rsidRPr="004643C5">
        <w:rPr>
          <w:b/>
          <w:bCs/>
          <w:sz w:val="24"/>
          <w:szCs w:val="24"/>
          <w:lang w:val="it-IT"/>
        </w:rPr>
        <w:t>Valutazione dei costi</w:t>
      </w:r>
      <w:r w:rsidRPr="004643C5">
        <w:rPr>
          <w:sz w:val="24"/>
          <w:szCs w:val="24"/>
          <w:lang w:val="it-IT"/>
        </w:rPr>
        <w:t xml:space="preserve">: </w:t>
      </w:r>
      <w:r w:rsidR="00973775">
        <w:rPr>
          <w:sz w:val="24"/>
          <w:szCs w:val="24"/>
          <w:lang w:val="it-IT"/>
        </w:rPr>
        <w:t>a</w:t>
      </w:r>
      <w:r w:rsidRPr="004643C5">
        <w:rPr>
          <w:sz w:val="24"/>
          <w:szCs w:val="24"/>
          <w:lang w:val="it-IT"/>
        </w:rPr>
        <w:t>nalizzare i costi attuali per mantenere i servizi e identificare i risparmi potenziali derivanti dalla dismissione, collaborando con il dipartimento finanziario.</w:t>
      </w:r>
    </w:p>
    <w:p w14:paraId="48CDB9DE" w14:textId="44820BEC" w:rsidR="004643C5" w:rsidRPr="004643C5" w:rsidRDefault="004643C5" w:rsidP="004643C5">
      <w:pPr>
        <w:pStyle w:val="Paragrafoelenco"/>
        <w:numPr>
          <w:ilvl w:val="0"/>
          <w:numId w:val="2"/>
        </w:numPr>
        <w:spacing w:after="60"/>
        <w:contextualSpacing w:val="0"/>
        <w:jc w:val="both"/>
        <w:rPr>
          <w:sz w:val="24"/>
          <w:szCs w:val="24"/>
          <w:lang w:val="it-IT"/>
        </w:rPr>
      </w:pPr>
      <w:r w:rsidRPr="004643C5">
        <w:rPr>
          <w:b/>
          <w:bCs/>
          <w:sz w:val="24"/>
          <w:szCs w:val="24"/>
          <w:lang w:val="it-IT"/>
        </w:rPr>
        <w:t>Valutazione delle opzioni di smaltimento</w:t>
      </w:r>
      <w:r w:rsidR="00AF3686">
        <w:rPr>
          <w:b/>
          <w:bCs/>
          <w:sz w:val="24"/>
          <w:szCs w:val="24"/>
          <w:lang w:val="it-IT"/>
        </w:rPr>
        <w:t xml:space="preserve"> degli asset</w:t>
      </w:r>
      <w:r w:rsidRPr="004643C5">
        <w:rPr>
          <w:sz w:val="24"/>
          <w:szCs w:val="24"/>
          <w:lang w:val="it-IT"/>
        </w:rPr>
        <w:t xml:space="preserve">: </w:t>
      </w:r>
      <w:r w:rsidR="00973775">
        <w:rPr>
          <w:sz w:val="24"/>
          <w:szCs w:val="24"/>
          <w:lang w:val="it-IT"/>
        </w:rPr>
        <w:t>c</w:t>
      </w:r>
      <w:r w:rsidRPr="004643C5">
        <w:rPr>
          <w:sz w:val="24"/>
          <w:szCs w:val="24"/>
          <w:lang w:val="it-IT"/>
        </w:rPr>
        <w:t>onsiderare opzioni di vendita, donazione o distruzione degli asset, garantendo la sicurezza dei dati.</w:t>
      </w:r>
    </w:p>
    <w:p w14:paraId="63140F3D" w14:textId="7AE9D0D5" w:rsidR="004643C5" w:rsidRPr="004643C5" w:rsidRDefault="004643C5" w:rsidP="004643C5">
      <w:pPr>
        <w:pStyle w:val="Paragrafoelenco"/>
        <w:numPr>
          <w:ilvl w:val="0"/>
          <w:numId w:val="2"/>
        </w:numPr>
        <w:spacing w:after="60"/>
        <w:contextualSpacing w:val="0"/>
        <w:jc w:val="both"/>
        <w:rPr>
          <w:sz w:val="24"/>
          <w:szCs w:val="24"/>
          <w:lang w:val="it-IT"/>
        </w:rPr>
      </w:pPr>
      <w:r w:rsidRPr="004643C5">
        <w:rPr>
          <w:b/>
          <w:bCs/>
          <w:sz w:val="24"/>
          <w:szCs w:val="24"/>
          <w:lang w:val="it-IT"/>
        </w:rPr>
        <w:t>Comunicazione con gli stakeholder</w:t>
      </w:r>
      <w:r w:rsidRPr="004643C5">
        <w:rPr>
          <w:sz w:val="24"/>
          <w:szCs w:val="24"/>
          <w:lang w:val="it-IT"/>
        </w:rPr>
        <w:t xml:space="preserve">: </w:t>
      </w:r>
      <w:r w:rsidR="00973775">
        <w:rPr>
          <w:sz w:val="24"/>
          <w:szCs w:val="24"/>
          <w:lang w:val="it-IT"/>
        </w:rPr>
        <w:t>i</w:t>
      </w:r>
      <w:r w:rsidRPr="004643C5">
        <w:rPr>
          <w:sz w:val="24"/>
          <w:szCs w:val="24"/>
          <w:lang w:val="it-IT"/>
        </w:rPr>
        <w:t>nformare chiaramente i dipendenti e i fornitori sui piani di dismissione e le tempistiche, garantendo il rispetto delle obbligazioni contrattuali.</w:t>
      </w:r>
    </w:p>
    <w:p w14:paraId="03B5BA77" w14:textId="75471733" w:rsidR="004643C5" w:rsidRPr="004643C5" w:rsidRDefault="004643C5" w:rsidP="004643C5">
      <w:pPr>
        <w:pStyle w:val="Paragrafoelenco"/>
        <w:numPr>
          <w:ilvl w:val="0"/>
          <w:numId w:val="2"/>
        </w:numPr>
        <w:spacing w:after="60"/>
        <w:contextualSpacing w:val="0"/>
        <w:jc w:val="both"/>
        <w:rPr>
          <w:sz w:val="24"/>
          <w:szCs w:val="24"/>
          <w:lang w:val="it-IT"/>
        </w:rPr>
      </w:pPr>
      <w:r w:rsidRPr="004643C5">
        <w:rPr>
          <w:b/>
          <w:bCs/>
          <w:sz w:val="24"/>
          <w:szCs w:val="24"/>
          <w:lang w:val="it-IT"/>
        </w:rPr>
        <w:t>Transizione ai nuovi servizi</w:t>
      </w:r>
      <w:r w:rsidRPr="004643C5">
        <w:rPr>
          <w:sz w:val="24"/>
          <w:szCs w:val="24"/>
          <w:lang w:val="it-IT"/>
        </w:rPr>
        <w:t xml:space="preserve">: </w:t>
      </w:r>
      <w:r w:rsidR="00973775">
        <w:rPr>
          <w:sz w:val="24"/>
          <w:szCs w:val="24"/>
          <w:lang w:val="it-IT"/>
        </w:rPr>
        <w:t>p</w:t>
      </w:r>
      <w:r w:rsidRPr="004643C5">
        <w:rPr>
          <w:sz w:val="24"/>
          <w:szCs w:val="24"/>
          <w:lang w:val="it-IT"/>
        </w:rPr>
        <w:t>ianificare una transizione senza interruzioni ai nuovi servizi, coinvolgendo gli utenti e fornendo supporto per ridurre eventuali disagi.</w:t>
      </w:r>
    </w:p>
    <w:p w14:paraId="56EC2960" w14:textId="3C67B3B3" w:rsidR="004643C5" w:rsidRPr="004643C5" w:rsidRDefault="004643C5" w:rsidP="004643C5">
      <w:pPr>
        <w:pStyle w:val="Paragrafoelenco"/>
        <w:numPr>
          <w:ilvl w:val="0"/>
          <w:numId w:val="2"/>
        </w:numPr>
        <w:spacing w:after="60"/>
        <w:contextualSpacing w:val="0"/>
        <w:jc w:val="both"/>
        <w:rPr>
          <w:sz w:val="24"/>
          <w:szCs w:val="24"/>
          <w:lang w:val="it-IT"/>
        </w:rPr>
      </w:pPr>
      <w:r w:rsidRPr="004643C5">
        <w:rPr>
          <w:b/>
          <w:bCs/>
          <w:sz w:val="24"/>
          <w:szCs w:val="24"/>
          <w:lang w:val="it-IT"/>
        </w:rPr>
        <w:t>Monitoraggio e verifica dello smaltimento</w:t>
      </w:r>
      <w:r w:rsidRPr="004643C5">
        <w:rPr>
          <w:sz w:val="24"/>
          <w:szCs w:val="24"/>
          <w:lang w:val="it-IT"/>
        </w:rPr>
        <w:t xml:space="preserve">: </w:t>
      </w:r>
      <w:r w:rsidR="00973775">
        <w:rPr>
          <w:sz w:val="24"/>
          <w:szCs w:val="24"/>
          <w:lang w:val="it-IT"/>
        </w:rPr>
        <w:t>m</w:t>
      </w:r>
      <w:r w:rsidRPr="004643C5">
        <w:rPr>
          <w:sz w:val="24"/>
          <w:szCs w:val="24"/>
          <w:lang w:val="it-IT"/>
        </w:rPr>
        <w:t>onitorare il processo di dismissione e smaltimento degli asset, utilizzando strumenti avanzati per garantire conformità e sicurezza.</w:t>
      </w:r>
    </w:p>
    <w:p w14:paraId="33E53105" w14:textId="6211A717" w:rsidR="004643C5" w:rsidRPr="004643C5" w:rsidRDefault="004643C5" w:rsidP="004643C5">
      <w:pPr>
        <w:pStyle w:val="Paragrafoelenco"/>
        <w:numPr>
          <w:ilvl w:val="0"/>
          <w:numId w:val="2"/>
        </w:numPr>
        <w:spacing w:after="0"/>
        <w:jc w:val="both"/>
        <w:rPr>
          <w:sz w:val="24"/>
          <w:szCs w:val="24"/>
          <w:lang w:val="it-IT"/>
        </w:rPr>
      </w:pPr>
      <w:r w:rsidRPr="004643C5">
        <w:rPr>
          <w:b/>
          <w:bCs/>
          <w:sz w:val="24"/>
          <w:szCs w:val="24"/>
          <w:lang w:val="it-IT"/>
        </w:rPr>
        <w:t>Aggiornamento e ottimizzazione della gestione degli asset IT</w:t>
      </w:r>
      <w:r w:rsidRPr="004643C5">
        <w:rPr>
          <w:sz w:val="24"/>
          <w:szCs w:val="24"/>
          <w:lang w:val="it-IT"/>
        </w:rPr>
        <w:t xml:space="preserve">: </w:t>
      </w:r>
      <w:r w:rsidR="00973775">
        <w:rPr>
          <w:sz w:val="24"/>
          <w:szCs w:val="24"/>
          <w:lang w:val="it-IT"/>
        </w:rPr>
        <w:t>a</w:t>
      </w:r>
      <w:r w:rsidRPr="004643C5">
        <w:rPr>
          <w:sz w:val="24"/>
          <w:szCs w:val="24"/>
          <w:lang w:val="it-IT"/>
        </w:rPr>
        <w:t>ggiornare l'inventario degli asset e analizzare il processo di dismissione per individuare aree di miglioramento futuro.</w:t>
      </w:r>
    </w:p>
    <w:p w14:paraId="29315B12" w14:textId="77777777" w:rsidR="002421EF" w:rsidRPr="006B6416" w:rsidRDefault="002421EF" w:rsidP="00332062">
      <w:pPr>
        <w:spacing w:after="0"/>
        <w:jc w:val="both"/>
        <w:rPr>
          <w:sz w:val="24"/>
          <w:szCs w:val="24"/>
          <w:lang w:val="it-IT"/>
        </w:rPr>
      </w:pPr>
    </w:p>
    <w:p w14:paraId="6A8A97B3" w14:textId="77777777" w:rsidR="00332062" w:rsidRPr="006B6416" w:rsidRDefault="00332062" w:rsidP="00332062">
      <w:pPr>
        <w:spacing w:after="0"/>
        <w:jc w:val="both"/>
        <w:rPr>
          <w:sz w:val="24"/>
          <w:szCs w:val="24"/>
          <w:lang w:val="it-IT"/>
        </w:rPr>
      </w:pPr>
    </w:p>
    <w:p w14:paraId="1B0F3D2E" w14:textId="577ACC62" w:rsidR="00332062" w:rsidRDefault="00332062" w:rsidP="00332062">
      <w:pPr>
        <w:spacing w:after="0"/>
        <w:jc w:val="both"/>
        <w:rPr>
          <w:sz w:val="24"/>
          <w:szCs w:val="24"/>
        </w:rPr>
      </w:pPr>
      <w:r>
        <w:rPr>
          <w:b/>
          <w:bCs/>
          <w:sz w:val="28"/>
          <w:szCs w:val="28"/>
        </w:rPr>
        <w:t xml:space="preserve">Slide 5 - </w:t>
      </w:r>
      <w:r w:rsidR="002F46CC">
        <w:rPr>
          <w:b/>
          <w:bCs/>
          <w:sz w:val="28"/>
          <w:szCs w:val="28"/>
        </w:rPr>
        <w:t>Rollout plan</w:t>
      </w:r>
    </w:p>
    <w:p w14:paraId="32AACEFA" w14:textId="77777777" w:rsidR="00332062" w:rsidRDefault="00332062" w:rsidP="00332062">
      <w:pPr>
        <w:spacing w:after="0"/>
        <w:jc w:val="both"/>
        <w:rPr>
          <w:sz w:val="24"/>
          <w:szCs w:val="24"/>
        </w:rPr>
      </w:pPr>
    </w:p>
    <w:p w14:paraId="5DD313D0" w14:textId="756AD170" w:rsidR="00332062" w:rsidRDefault="00084F70" w:rsidP="006C581D">
      <w:pPr>
        <w:spacing w:after="60"/>
        <w:jc w:val="both"/>
        <w:rPr>
          <w:sz w:val="24"/>
          <w:szCs w:val="24"/>
          <w:lang w:val="it-IT"/>
        </w:rPr>
      </w:pPr>
      <w:r w:rsidRPr="00084F70">
        <w:rPr>
          <w:sz w:val="24"/>
          <w:szCs w:val="24"/>
          <w:lang w:val="it-IT"/>
        </w:rPr>
        <w:t>Fino ad ora abbiamo d</w:t>
      </w:r>
      <w:r>
        <w:rPr>
          <w:sz w:val="24"/>
          <w:szCs w:val="24"/>
          <w:lang w:val="it-IT"/>
        </w:rPr>
        <w:t>iscusso il piano di decommissioning ad alto livello ma è chiaro che quanto detto non basta a realizzare la dismissione vera e propria dei due servizi</w:t>
      </w:r>
      <w:r w:rsidR="00B709E2">
        <w:rPr>
          <w:sz w:val="24"/>
          <w:szCs w:val="24"/>
          <w:lang w:val="it-IT"/>
        </w:rPr>
        <w:t xml:space="preserve"> di connettività</w:t>
      </w:r>
      <w:r>
        <w:rPr>
          <w:sz w:val="24"/>
          <w:szCs w:val="24"/>
          <w:lang w:val="it-IT"/>
        </w:rPr>
        <w:t xml:space="preserve">. Diventa necessario quindi discutere nel dettaglio il piano coinvolgendo i principi guida di ITIL4 e la service </w:t>
      </w:r>
      <w:proofErr w:type="spellStart"/>
      <w:r>
        <w:rPr>
          <w:sz w:val="24"/>
          <w:szCs w:val="24"/>
          <w:lang w:val="it-IT"/>
        </w:rPr>
        <w:t>value</w:t>
      </w:r>
      <w:proofErr w:type="spellEnd"/>
      <w:r>
        <w:rPr>
          <w:sz w:val="24"/>
          <w:szCs w:val="24"/>
          <w:lang w:val="it-IT"/>
        </w:rPr>
        <w:t xml:space="preserve"> chain come modello operativo </w:t>
      </w:r>
      <w:r w:rsidR="00B709E2">
        <w:rPr>
          <w:sz w:val="24"/>
          <w:szCs w:val="24"/>
          <w:lang w:val="it-IT"/>
        </w:rPr>
        <w:t>per assicurare</w:t>
      </w:r>
      <w:r w:rsidR="00B015EE">
        <w:rPr>
          <w:sz w:val="24"/>
          <w:szCs w:val="24"/>
          <w:lang w:val="it-IT"/>
        </w:rPr>
        <w:t xml:space="preserve"> che </w:t>
      </w:r>
      <w:r w:rsidR="00255706">
        <w:rPr>
          <w:sz w:val="24"/>
          <w:szCs w:val="24"/>
          <w:lang w:val="it-IT"/>
        </w:rPr>
        <w:t>ciascuna attività crei effettivamente</w:t>
      </w:r>
      <w:r w:rsidR="00B015EE">
        <w:rPr>
          <w:sz w:val="24"/>
          <w:szCs w:val="24"/>
          <w:lang w:val="it-IT"/>
        </w:rPr>
        <w:t xml:space="preserve"> </w:t>
      </w:r>
      <w:r w:rsidR="004B7B37">
        <w:rPr>
          <w:sz w:val="24"/>
          <w:szCs w:val="24"/>
          <w:lang w:val="it-IT"/>
        </w:rPr>
        <w:t xml:space="preserve">del </w:t>
      </w:r>
      <w:r w:rsidR="00B015EE">
        <w:rPr>
          <w:sz w:val="24"/>
          <w:szCs w:val="24"/>
          <w:lang w:val="it-IT"/>
        </w:rPr>
        <w:t>valore</w:t>
      </w:r>
      <w:r w:rsidR="004B7B37">
        <w:rPr>
          <w:sz w:val="24"/>
          <w:szCs w:val="24"/>
          <w:lang w:val="it-IT"/>
        </w:rPr>
        <w:t xml:space="preserve"> aggiunto</w:t>
      </w:r>
      <w:r w:rsidR="00B015EE">
        <w:rPr>
          <w:sz w:val="24"/>
          <w:szCs w:val="24"/>
          <w:lang w:val="it-IT"/>
        </w:rPr>
        <w:t>.</w:t>
      </w:r>
      <w:r w:rsidR="00594637">
        <w:rPr>
          <w:sz w:val="24"/>
          <w:szCs w:val="24"/>
          <w:lang w:val="it-IT"/>
        </w:rPr>
        <w:t xml:space="preserve"> </w:t>
      </w:r>
    </w:p>
    <w:p w14:paraId="639C9065" w14:textId="6E5574DC" w:rsidR="00332062" w:rsidRDefault="006C581D" w:rsidP="0005203C">
      <w:pPr>
        <w:spacing w:after="60"/>
        <w:jc w:val="both"/>
        <w:rPr>
          <w:sz w:val="24"/>
          <w:szCs w:val="24"/>
          <w:lang w:val="it-IT"/>
        </w:rPr>
      </w:pPr>
      <w:r>
        <w:rPr>
          <w:sz w:val="24"/>
          <w:szCs w:val="24"/>
          <w:lang w:val="it-IT"/>
        </w:rPr>
        <w:t xml:space="preserve">La seguente tabella riassume l’intero </w:t>
      </w:r>
      <w:r w:rsidR="00364E35">
        <w:rPr>
          <w:sz w:val="24"/>
          <w:szCs w:val="24"/>
          <w:lang w:val="it-IT"/>
        </w:rPr>
        <w:t xml:space="preserve">piano di </w:t>
      </w:r>
      <w:proofErr w:type="spellStart"/>
      <w:r>
        <w:rPr>
          <w:sz w:val="24"/>
          <w:szCs w:val="24"/>
          <w:lang w:val="it-IT"/>
        </w:rPr>
        <w:t>rollout</w:t>
      </w:r>
      <w:proofErr w:type="spellEnd"/>
      <w:r>
        <w:rPr>
          <w:sz w:val="24"/>
          <w:szCs w:val="24"/>
          <w:lang w:val="it-IT"/>
        </w:rPr>
        <w:t xml:space="preserve">, composto dalle diverse attività della service </w:t>
      </w:r>
      <w:proofErr w:type="spellStart"/>
      <w:r>
        <w:rPr>
          <w:sz w:val="24"/>
          <w:szCs w:val="24"/>
          <w:lang w:val="it-IT"/>
        </w:rPr>
        <w:t>value</w:t>
      </w:r>
      <w:proofErr w:type="spellEnd"/>
      <w:r>
        <w:rPr>
          <w:sz w:val="24"/>
          <w:szCs w:val="24"/>
          <w:lang w:val="it-IT"/>
        </w:rPr>
        <w:t xml:space="preserve"> chain con annesse alcune delle practices più importanti discusse all’interno del </w:t>
      </w:r>
      <w:r>
        <w:rPr>
          <w:sz w:val="24"/>
          <w:szCs w:val="24"/>
          <w:lang w:val="it-IT"/>
        </w:rPr>
        <w:lastRenderedPageBreak/>
        <w:t xml:space="preserve">documento complessivo. Ciascuna attività della service </w:t>
      </w:r>
      <w:proofErr w:type="spellStart"/>
      <w:r>
        <w:rPr>
          <w:sz w:val="24"/>
          <w:szCs w:val="24"/>
          <w:lang w:val="it-IT"/>
        </w:rPr>
        <w:t>value</w:t>
      </w:r>
      <w:proofErr w:type="spellEnd"/>
      <w:r>
        <w:rPr>
          <w:sz w:val="24"/>
          <w:szCs w:val="24"/>
          <w:lang w:val="it-IT"/>
        </w:rPr>
        <w:t xml:space="preserve"> chain viene quindi descritta utilizzando le practices ITIL</w:t>
      </w:r>
      <w:r w:rsidR="005275C2">
        <w:rPr>
          <w:sz w:val="24"/>
          <w:szCs w:val="24"/>
          <w:lang w:val="it-IT"/>
        </w:rPr>
        <w:t>4</w:t>
      </w:r>
      <w:r>
        <w:rPr>
          <w:sz w:val="24"/>
          <w:szCs w:val="24"/>
          <w:lang w:val="it-IT"/>
        </w:rPr>
        <w:t xml:space="preserve">, descrivendo processi e responsabilità aiutando quindi a definire oltre al piano generale anche un meccanismo di governance. </w:t>
      </w:r>
    </w:p>
    <w:p w14:paraId="6F0C67B0" w14:textId="097297E8" w:rsidR="0005203C" w:rsidRPr="00084F70" w:rsidRDefault="0005203C" w:rsidP="00332062">
      <w:pPr>
        <w:spacing w:after="0"/>
        <w:jc w:val="both"/>
        <w:rPr>
          <w:sz w:val="24"/>
          <w:szCs w:val="24"/>
          <w:lang w:val="it-IT"/>
        </w:rPr>
      </w:pPr>
      <w:r>
        <w:rPr>
          <w:sz w:val="24"/>
          <w:szCs w:val="24"/>
          <w:lang w:val="it-IT"/>
        </w:rPr>
        <w:t xml:space="preserve">Ora lascio la parola ai miei colleghi che illustreranno più nel dettaglio il piano di </w:t>
      </w:r>
      <w:proofErr w:type="spellStart"/>
      <w:r>
        <w:rPr>
          <w:sz w:val="24"/>
          <w:szCs w:val="24"/>
          <w:lang w:val="it-IT"/>
        </w:rPr>
        <w:t>rollout</w:t>
      </w:r>
      <w:proofErr w:type="spellEnd"/>
      <w:r>
        <w:rPr>
          <w:sz w:val="24"/>
          <w:szCs w:val="24"/>
          <w:lang w:val="it-IT"/>
        </w:rPr>
        <w:t>.</w:t>
      </w:r>
    </w:p>
    <w:sectPr w:rsidR="0005203C" w:rsidRPr="00084F70">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3D2A09"/>
    <w:multiLevelType w:val="hybridMultilevel"/>
    <w:tmpl w:val="8E24849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5DB7769F"/>
    <w:multiLevelType w:val="hybridMultilevel"/>
    <w:tmpl w:val="2642363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311717223">
    <w:abstractNumId w:val="1"/>
  </w:num>
  <w:num w:numId="2" w16cid:durableId="1264392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22C1"/>
    <w:rsid w:val="0005203C"/>
    <w:rsid w:val="00053E0B"/>
    <w:rsid w:val="000569F7"/>
    <w:rsid w:val="00084F70"/>
    <w:rsid w:val="000A3BDB"/>
    <w:rsid w:val="000E2814"/>
    <w:rsid w:val="000E75B9"/>
    <w:rsid w:val="00102C21"/>
    <w:rsid w:val="00144A48"/>
    <w:rsid w:val="00152538"/>
    <w:rsid w:val="001545C7"/>
    <w:rsid w:val="001C72D8"/>
    <w:rsid w:val="00227031"/>
    <w:rsid w:val="002421EF"/>
    <w:rsid w:val="00255706"/>
    <w:rsid w:val="002F46CC"/>
    <w:rsid w:val="00332062"/>
    <w:rsid w:val="00364E35"/>
    <w:rsid w:val="00366191"/>
    <w:rsid w:val="003E4437"/>
    <w:rsid w:val="004401BE"/>
    <w:rsid w:val="00453833"/>
    <w:rsid w:val="004643C5"/>
    <w:rsid w:val="004B7B37"/>
    <w:rsid w:val="004D3B4F"/>
    <w:rsid w:val="00501846"/>
    <w:rsid w:val="00522630"/>
    <w:rsid w:val="005275C2"/>
    <w:rsid w:val="005651AF"/>
    <w:rsid w:val="00594637"/>
    <w:rsid w:val="005A7ED6"/>
    <w:rsid w:val="005A7FC6"/>
    <w:rsid w:val="005C0EBF"/>
    <w:rsid w:val="005F218D"/>
    <w:rsid w:val="00600C94"/>
    <w:rsid w:val="00630F72"/>
    <w:rsid w:val="0065324B"/>
    <w:rsid w:val="0068433A"/>
    <w:rsid w:val="006B6416"/>
    <w:rsid w:val="006C581D"/>
    <w:rsid w:val="00751094"/>
    <w:rsid w:val="007C2CE8"/>
    <w:rsid w:val="0080323A"/>
    <w:rsid w:val="008222C1"/>
    <w:rsid w:val="00861295"/>
    <w:rsid w:val="0091201D"/>
    <w:rsid w:val="0091371C"/>
    <w:rsid w:val="00915E9E"/>
    <w:rsid w:val="00973775"/>
    <w:rsid w:val="00992483"/>
    <w:rsid w:val="00A717F5"/>
    <w:rsid w:val="00A9100F"/>
    <w:rsid w:val="00A9215F"/>
    <w:rsid w:val="00AB14CF"/>
    <w:rsid w:val="00AF3686"/>
    <w:rsid w:val="00B015EE"/>
    <w:rsid w:val="00B3104E"/>
    <w:rsid w:val="00B638E0"/>
    <w:rsid w:val="00B709E2"/>
    <w:rsid w:val="00B81B99"/>
    <w:rsid w:val="00C15C5B"/>
    <w:rsid w:val="00C21ADC"/>
    <w:rsid w:val="00C75B7F"/>
    <w:rsid w:val="00C8019A"/>
    <w:rsid w:val="00CD1850"/>
    <w:rsid w:val="00D82B3E"/>
    <w:rsid w:val="00E910C1"/>
    <w:rsid w:val="00F423EF"/>
    <w:rsid w:val="00F761E6"/>
    <w:rsid w:val="00FE0E6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95B0B1"/>
  <w15:chartTrackingRefBased/>
  <w15:docId w15:val="{538885CF-A286-43DE-AF90-F742E8D67B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630F72"/>
    <w:rPr>
      <w:lang w:val="en-GB"/>
    </w:rPr>
  </w:style>
  <w:style w:type="paragraph" w:styleId="Titolo1">
    <w:name w:val="heading 1"/>
    <w:basedOn w:val="Normale"/>
    <w:next w:val="Normale"/>
    <w:link w:val="Titolo1Carattere"/>
    <w:uiPriority w:val="9"/>
    <w:qFormat/>
    <w:rsid w:val="008222C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8222C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8222C1"/>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8222C1"/>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8222C1"/>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8222C1"/>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8222C1"/>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8222C1"/>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8222C1"/>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8222C1"/>
    <w:rPr>
      <w:rFonts w:asciiTheme="majorHAnsi" w:eastAsiaTheme="majorEastAsia" w:hAnsiTheme="majorHAnsi" w:cstheme="majorBidi"/>
      <w:color w:val="0F4761" w:themeColor="accent1" w:themeShade="BF"/>
      <w:sz w:val="40"/>
      <w:szCs w:val="40"/>
      <w:lang w:val="en-GB"/>
    </w:rPr>
  </w:style>
  <w:style w:type="character" w:customStyle="1" w:styleId="Titolo2Carattere">
    <w:name w:val="Titolo 2 Carattere"/>
    <w:basedOn w:val="Carpredefinitoparagrafo"/>
    <w:link w:val="Titolo2"/>
    <w:uiPriority w:val="9"/>
    <w:semiHidden/>
    <w:rsid w:val="008222C1"/>
    <w:rPr>
      <w:rFonts w:asciiTheme="majorHAnsi" w:eastAsiaTheme="majorEastAsia" w:hAnsiTheme="majorHAnsi" w:cstheme="majorBidi"/>
      <w:color w:val="0F4761" w:themeColor="accent1" w:themeShade="BF"/>
      <w:sz w:val="32"/>
      <w:szCs w:val="32"/>
      <w:lang w:val="en-GB"/>
    </w:rPr>
  </w:style>
  <w:style w:type="character" w:customStyle="1" w:styleId="Titolo3Carattere">
    <w:name w:val="Titolo 3 Carattere"/>
    <w:basedOn w:val="Carpredefinitoparagrafo"/>
    <w:link w:val="Titolo3"/>
    <w:uiPriority w:val="9"/>
    <w:semiHidden/>
    <w:rsid w:val="008222C1"/>
    <w:rPr>
      <w:rFonts w:eastAsiaTheme="majorEastAsia" w:cstheme="majorBidi"/>
      <w:color w:val="0F4761" w:themeColor="accent1" w:themeShade="BF"/>
      <w:sz w:val="28"/>
      <w:szCs w:val="28"/>
      <w:lang w:val="en-GB"/>
    </w:rPr>
  </w:style>
  <w:style w:type="character" w:customStyle="1" w:styleId="Titolo4Carattere">
    <w:name w:val="Titolo 4 Carattere"/>
    <w:basedOn w:val="Carpredefinitoparagrafo"/>
    <w:link w:val="Titolo4"/>
    <w:uiPriority w:val="9"/>
    <w:semiHidden/>
    <w:rsid w:val="008222C1"/>
    <w:rPr>
      <w:rFonts w:eastAsiaTheme="majorEastAsia" w:cstheme="majorBidi"/>
      <w:i/>
      <w:iCs/>
      <w:color w:val="0F4761" w:themeColor="accent1" w:themeShade="BF"/>
      <w:lang w:val="en-GB"/>
    </w:rPr>
  </w:style>
  <w:style w:type="character" w:customStyle="1" w:styleId="Titolo5Carattere">
    <w:name w:val="Titolo 5 Carattere"/>
    <w:basedOn w:val="Carpredefinitoparagrafo"/>
    <w:link w:val="Titolo5"/>
    <w:uiPriority w:val="9"/>
    <w:semiHidden/>
    <w:rsid w:val="008222C1"/>
    <w:rPr>
      <w:rFonts w:eastAsiaTheme="majorEastAsia" w:cstheme="majorBidi"/>
      <w:color w:val="0F4761" w:themeColor="accent1" w:themeShade="BF"/>
      <w:lang w:val="en-GB"/>
    </w:rPr>
  </w:style>
  <w:style w:type="character" w:customStyle="1" w:styleId="Titolo6Carattere">
    <w:name w:val="Titolo 6 Carattere"/>
    <w:basedOn w:val="Carpredefinitoparagrafo"/>
    <w:link w:val="Titolo6"/>
    <w:uiPriority w:val="9"/>
    <w:semiHidden/>
    <w:rsid w:val="008222C1"/>
    <w:rPr>
      <w:rFonts w:eastAsiaTheme="majorEastAsia" w:cstheme="majorBidi"/>
      <w:i/>
      <w:iCs/>
      <w:color w:val="595959" w:themeColor="text1" w:themeTint="A6"/>
      <w:lang w:val="en-GB"/>
    </w:rPr>
  </w:style>
  <w:style w:type="character" w:customStyle="1" w:styleId="Titolo7Carattere">
    <w:name w:val="Titolo 7 Carattere"/>
    <w:basedOn w:val="Carpredefinitoparagrafo"/>
    <w:link w:val="Titolo7"/>
    <w:uiPriority w:val="9"/>
    <w:semiHidden/>
    <w:rsid w:val="008222C1"/>
    <w:rPr>
      <w:rFonts w:eastAsiaTheme="majorEastAsia" w:cstheme="majorBidi"/>
      <w:color w:val="595959" w:themeColor="text1" w:themeTint="A6"/>
      <w:lang w:val="en-GB"/>
    </w:rPr>
  </w:style>
  <w:style w:type="character" w:customStyle="1" w:styleId="Titolo8Carattere">
    <w:name w:val="Titolo 8 Carattere"/>
    <w:basedOn w:val="Carpredefinitoparagrafo"/>
    <w:link w:val="Titolo8"/>
    <w:uiPriority w:val="9"/>
    <w:semiHidden/>
    <w:rsid w:val="008222C1"/>
    <w:rPr>
      <w:rFonts w:eastAsiaTheme="majorEastAsia" w:cstheme="majorBidi"/>
      <w:i/>
      <w:iCs/>
      <w:color w:val="272727" w:themeColor="text1" w:themeTint="D8"/>
      <w:lang w:val="en-GB"/>
    </w:rPr>
  </w:style>
  <w:style w:type="character" w:customStyle="1" w:styleId="Titolo9Carattere">
    <w:name w:val="Titolo 9 Carattere"/>
    <w:basedOn w:val="Carpredefinitoparagrafo"/>
    <w:link w:val="Titolo9"/>
    <w:uiPriority w:val="9"/>
    <w:semiHidden/>
    <w:rsid w:val="008222C1"/>
    <w:rPr>
      <w:rFonts w:eastAsiaTheme="majorEastAsia" w:cstheme="majorBidi"/>
      <w:color w:val="272727" w:themeColor="text1" w:themeTint="D8"/>
      <w:lang w:val="en-GB"/>
    </w:rPr>
  </w:style>
  <w:style w:type="paragraph" w:styleId="Titolo">
    <w:name w:val="Title"/>
    <w:basedOn w:val="Normale"/>
    <w:next w:val="Normale"/>
    <w:link w:val="TitoloCarattere"/>
    <w:uiPriority w:val="10"/>
    <w:qFormat/>
    <w:rsid w:val="008222C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8222C1"/>
    <w:rPr>
      <w:rFonts w:asciiTheme="majorHAnsi" w:eastAsiaTheme="majorEastAsia" w:hAnsiTheme="majorHAnsi" w:cstheme="majorBidi"/>
      <w:spacing w:val="-10"/>
      <w:kern w:val="28"/>
      <w:sz w:val="56"/>
      <w:szCs w:val="56"/>
      <w:lang w:val="en-GB"/>
    </w:rPr>
  </w:style>
  <w:style w:type="paragraph" w:styleId="Sottotitolo">
    <w:name w:val="Subtitle"/>
    <w:basedOn w:val="Normale"/>
    <w:next w:val="Normale"/>
    <w:link w:val="SottotitoloCarattere"/>
    <w:uiPriority w:val="11"/>
    <w:qFormat/>
    <w:rsid w:val="008222C1"/>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8222C1"/>
    <w:rPr>
      <w:rFonts w:eastAsiaTheme="majorEastAsia" w:cstheme="majorBidi"/>
      <w:color w:val="595959" w:themeColor="text1" w:themeTint="A6"/>
      <w:spacing w:val="15"/>
      <w:sz w:val="28"/>
      <w:szCs w:val="28"/>
      <w:lang w:val="en-GB"/>
    </w:rPr>
  </w:style>
  <w:style w:type="paragraph" w:styleId="Citazione">
    <w:name w:val="Quote"/>
    <w:basedOn w:val="Normale"/>
    <w:next w:val="Normale"/>
    <w:link w:val="CitazioneCarattere"/>
    <w:uiPriority w:val="29"/>
    <w:qFormat/>
    <w:rsid w:val="008222C1"/>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8222C1"/>
    <w:rPr>
      <w:i/>
      <w:iCs/>
      <w:color w:val="404040" w:themeColor="text1" w:themeTint="BF"/>
      <w:lang w:val="en-GB"/>
    </w:rPr>
  </w:style>
  <w:style w:type="paragraph" w:styleId="Paragrafoelenco">
    <w:name w:val="List Paragraph"/>
    <w:basedOn w:val="Normale"/>
    <w:uiPriority w:val="34"/>
    <w:qFormat/>
    <w:rsid w:val="008222C1"/>
    <w:pPr>
      <w:ind w:left="720"/>
      <w:contextualSpacing/>
    </w:pPr>
  </w:style>
  <w:style w:type="character" w:styleId="Enfasiintensa">
    <w:name w:val="Intense Emphasis"/>
    <w:basedOn w:val="Carpredefinitoparagrafo"/>
    <w:uiPriority w:val="21"/>
    <w:qFormat/>
    <w:rsid w:val="008222C1"/>
    <w:rPr>
      <w:i/>
      <w:iCs/>
      <w:color w:val="0F4761" w:themeColor="accent1" w:themeShade="BF"/>
    </w:rPr>
  </w:style>
  <w:style w:type="paragraph" w:styleId="Citazioneintensa">
    <w:name w:val="Intense Quote"/>
    <w:basedOn w:val="Normale"/>
    <w:next w:val="Normale"/>
    <w:link w:val="CitazioneintensaCarattere"/>
    <w:uiPriority w:val="30"/>
    <w:qFormat/>
    <w:rsid w:val="008222C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8222C1"/>
    <w:rPr>
      <w:i/>
      <w:iCs/>
      <w:color w:val="0F4761" w:themeColor="accent1" w:themeShade="BF"/>
      <w:lang w:val="en-GB"/>
    </w:rPr>
  </w:style>
  <w:style w:type="character" w:styleId="Riferimentointenso">
    <w:name w:val="Intense Reference"/>
    <w:basedOn w:val="Carpredefinitoparagrafo"/>
    <w:uiPriority w:val="32"/>
    <w:qFormat/>
    <w:rsid w:val="008222C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6452259">
      <w:bodyDiv w:val="1"/>
      <w:marLeft w:val="0"/>
      <w:marRight w:val="0"/>
      <w:marTop w:val="0"/>
      <w:marBottom w:val="0"/>
      <w:divBdr>
        <w:top w:val="none" w:sz="0" w:space="0" w:color="auto"/>
        <w:left w:val="none" w:sz="0" w:space="0" w:color="auto"/>
        <w:bottom w:val="none" w:sz="0" w:space="0" w:color="auto"/>
        <w:right w:val="none" w:sz="0" w:space="0" w:color="auto"/>
      </w:divBdr>
    </w:div>
    <w:div w:id="2005862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TotalTime>
  <Pages>3</Pages>
  <Words>874</Words>
  <Characters>4985</Characters>
  <Application>Microsoft Office Word</Application>
  <DocSecurity>0</DocSecurity>
  <Lines>41</Lines>
  <Paragraphs>11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Amista'</dc:creator>
  <cp:keywords/>
  <dc:description/>
  <cp:lastModifiedBy>Michael Amista'</cp:lastModifiedBy>
  <cp:revision>129</cp:revision>
  <dcterms:created xsi:type="dcterms:W3CDTF">2024-09-18T07:53:00Z</dcterms:created>
  <dcterms:modified xsi:type="dcterms:W3CDTF">2024-09-18T13:55:00Z</dcterms:modified>
</cp:coreProperties>
</file>