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0000ff"/>
          <w:u w:val="single"/>
        </w:rPr>
      </w:pP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La produzione di un elaborato multimediale per illustrare l’esperienza PCTO nel colloquio dell’Esame di Stato del Secondo Ciclo: tre video con suggerimenti agli studenti « MIUR – Ufficio Scolastico Regionale per il Veneto (istruzioneveneto.gov.it)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https://old.istruzioneveneto.gov.it/wpusr/wp-content/uploads/2019/05/USRV%20Video%201%20Principi%20di%20comunicazione.mp4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https://old.istruzioneveneto.gov.it/wpusr/wp-content/uploads/2019/05/USRV%20Video%202%20La%20cattiva%20presentazione.mp4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color w:val="0000ff"/>
            <w:u w:val="single"/>
            <w:rtl w:val="0"/>
          </w:rPr>
          <w:t xml:space="preserve">https://old.istruzioneveneto.gov.it/wpusr/wp-content/uploads/2019/05/USRV%20Video%203%20Quello%20che%20sta%20dietro%20a%20una%20presentazione.mp4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bookmarkStart w:colFirst="0" w:colLast="0" w:name="_bfp13ekav01v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old.istruzioneveneto.gov.it/wpusr/wp-content/uploads/2019/05/USRV%20Video%203%20Quello%20che%20sta%20dietro%20a%20una%20presentazione.mp4" TargetMode="External"/><Relationship Id="rId5" Type="http://schemas.openxmlformats.org/officeDocument/2006/relationships/styles" Target="styles.xml"/><Relationship Id="rId6" Type="http://schemas.openxmlformats.org/officeDocument/2006/relationships/hyperlink" Target="https://old.istruzioneveneto.gov.it/wpusr/archives/109637" TargetMode="External"/><Relationship Id="rId7" Type="http://schemas.openxmlformats.org/officeDocument/2006/relationships/hyperlink" Target="https://old.istruzioneveneto.gov.it/wpusr/wp-content/uploads/2019/05/USRV%20Video%201%20Principi%20di%20comunicazione.mp4" TargetMode="External"/><Relationship Id="rId8" Type="http://schemas.openxmlformats.org/officeDocument/2006/relationships/hyperlink" Target="https://old.istruzioneveneto.gov.it/wpusr/wp-content/uploads/2019/05/USRV%20Video%202%20La%20cattiva%20presentazione.mp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