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1333182</wp:posOffset>
            </wp:positionH>
            <wp:positionV relativeFrom="paragraph">
              <wp:posOffset>107950</wp:posOffset>
            </wp:positionV>
            <wp:extent cx="4328160" cy="132270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340" l="-104" r="-103" t="-34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32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PROGRAMMAZIONE DEFINITIVA</w:t>
      </w:r>
    </w:p>
    <w:p w:rsidR="00000000" w:rsidDel="00000000" w:rsidP="00000000" w:rsidRDefault="00000000" w:rsidRPr="00000000" w14:paraId="00000003">
      <w:pPr>
        <w:jc w:val="center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single"/>
          <w:rtl w:val="0"/>
        </w:rPr>
        <w:t xml:space="preserve">A.S. 2023/2024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none"/>
          <w:rtl w:val="0"/>
        </w:rPr>
        <w:t xml:space="preserve">Classe: 4D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b w:val="0"/>
          <w:sz w:val="6"/>
          <w:szCs w:val="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b w:val="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none"/>
          <w:rtl w:val="0"/>
        </w:rPr>
        <w:t xml:space="preserve">Materia: sistemi e reti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6"/>
          <w:szCs w:val="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b w:val="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none"/>
          <w:rtl w:val="0"/>
        </w:rPr>
        <w:t xml:space="preserve">Docenti: Nicola Burattin (teoria), Daniele Capuano (laboratorio)</w:t>
      </w:r>
    </w:p>
    <w:p w:rsidR="00000000" w:rsidDel="00000000" w:rsidP="00000000" w:rsidRDefault="00000000" w:rsidRPr="00000000" w14:paraId="0000000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b w:val="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none"/>
          <w:rtl w:val="0"/>
        </w:rPr>
        <w:t xml:space="preserve">Libro di testo: Nuovo sistemi e reti vol. 2, Luigi Lo Russo e Elena Bianchi edizione Hoepli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TEORIA: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L'architettura dei sistemi di elaborazione: hardware, software, firmware.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principali componenti di un sistema di elaborazione: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le porte logiche: AND, OR, NOT;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 generatori di segnali.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Modello di Von Neumann.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Modello di Harvard.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CPU.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ciclo macchina: fetch, decode, execute.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registri interni: speciali e generali.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L'architetture RISC e CISC.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chipset Northbridge e Southbridge.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tipi di memoria: RAM, ROM, PROM, EPROM, EEPROM.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gestione della memoria del PC: memoria cache, latenza, banda di trasferimento dati, frequenza di funzionamento.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memorie flash: NOR e NAND.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L'organizzazione dinamica della memoria: tempo di accesso, localizzazione spaziale e temporale.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Bus principali.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" w:right="0" w:hanging="75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periferiche plug &amp; play.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BUS di espansione.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Definizione di rete informatica.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Aspetti hardware delle reti: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tecnologia trasmissiva: reti broadcast, reti punto a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scala dimensionale: LAN, MAN, WAN, GAN;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Caratteristiche principali delle reti LAN: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dimensione;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tecnologia trasmissiva;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topologia.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topologia delle LAN:</w:t>
      </w:r>
    </w:p>
    <w:p w:rsidR="00000000" w:rsidDel="00000000" w:rsidP="00000000" w:rsidRDefault="00000000" w:rsidRPr="00000000" w14:paraId="0000002C">
      <w:pPr>
        <w:spacing w:after="17" w:before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 bus;</w:t>
      </w:r>
    </w:p>
    <w:p w:rsidR="00000000" w:rsidDel="00000000" w:rsidP="00000000" w:rsidRDefault="00000000" w:rsidRPr="00000000" w14:paraId="0000002D">
      <w:pPr>
        <w:spacing w:after="17" w:before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 stella;</w:t>
      </w:r>
    </w:p>
    <w:p w:rsidR="00000000" w:rsidDel="00000000" w:rsidP="00000000" w:rsidRDefault="00000000" w:rsidRPr="00000000" w14:paraId="0000002E">
      <w:pPr>
        <w:spacing w:after="17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ad anello;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7" w:before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 maglia;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ad albero.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Reti geografiche.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Reti wireless.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Modalità di comunicazione: connection-oriented, connectionless.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Modalità di utilizzo del canale: simplex, half-duplex, full-duplex.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Definizione di protocollo.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Tecniche di trasferimento: multiplazione, modalità di accesso al canale, tecnica di commutazione.  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Protocolli di accesso multiplo: senza contesa (deterministici), CDMA, a contesa (accesso casuale).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Protocolli deterministici: TDMA, FDMA, passaggio del testimone (token passing).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Protocolli  a contesa: Aloha (puro e slotted), CSMA/CD.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Protocollo CDMA.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77" w:hanging="754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commutazione: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di circuito;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di messaggio;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di pacchetto.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77" w:hanging="754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L'architettura a strati.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77" w:hanging="754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Il modello OSI: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livello fisico;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livello di collegamento;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livello di rete;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livello di trasporto;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livello di sessione;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livello di presentazione;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livello applicativo.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77" w:hanging="754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Confronto modello OSI e TCP/IP.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77" w:hanging="754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Modello TCP/IP: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accesso in rete;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internet layer;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transport layer;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applicazion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77" w:hanging="754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 struttura degli indirizzi IP.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77" w:hanging="754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 classi degli indirizzi IP.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LABORATORIO: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Dichiarazione di variabili e costanti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Dichiarazione di funzioni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Tipi di dati all’interno di JavaScript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Operatori di comparazione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Operatori logici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Object Model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Funzioni del documento HTML: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getElementById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getElementsByClassName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 degli elementi HTML: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onClick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onHover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listeners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Operazioni ternarie (costrutto condition ? ifTrue : ifFalse)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Comparazione tra tipi diversi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 e metodi relativi: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forEach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Oggetti in JavaScript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 string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Comparazione tra date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 input di tipo date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Costrutto “for”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Costrutto “for of”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Funzioni anonime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Rappresentanti di classe                            Prof. Nicola Burattin                           Prof. Daniele Capuano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…....................................                            …..............................                           ....................................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23" w:orient="portrait"/>
      <w:pgMar w:bottom="567" w:top="567" w:left="454" w:right="45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 xsi:nil="true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459B50-9204-44AD-9B27-CB7133DE5582}"/>
</file>

<file path=customXml/itemProps2.xml><?xml version="1.0" encoding="utf-8"?>
<ds:datastoreItem xmlns:ds="http://schemas.openxmlformats.org/officeDocument/2006/customXml" ds:itemID="{62B86275-B914-4CB0-B634-557D85345B57}"/>
</file>

<file path=customXml/itemProps3.xml><?xml version="1.0" encoding="utf-8"?>
<ds:datastoreItem xmlns:ds="http://schemas.openxmlformats.org/officeDocument/2006/customXml" ds:itemID="{F1859EB8-4C96-42B7-8515-4E2BC598034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  <property fmtid="{D5CDD505-2E9C-101B-9397-08002B2CF9AE}" pid="9" name="ContentTypeId">
    <vt:lpwstr>0x010100BE6AF9C919EA164386BF3E39B19B688B</vt:lpwstr>
  </property>
  <property fmtid="{D5CDD505-2E9C-101B-9397-08002B2CF9AE}" pid="10" name="Order">
    <vt:r8>4319000</vt:r8>
  </property>
  <property fmtid="{D5CDD505-2E9C-101B-9397-08002B2CF9AE}" pid="11" name="MediaServiceImageTags">
    <vt:lpwstr/>
  </property>
</Properties>
</file>