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60"/>
      </w:pPr>
      <w:r>
        <w:rPr>
          <w:rFonts w:ascii="Arial" w:hAnsi="Arial"/>
          <w:b/>
          <w:i w:val="0"/>
          <w:color w:val="2E75B6"/>
          <w:sz w:val="22"/>
        </w:rPr>
        <w:t>MINISTERIO DE SALUD PÚBLICA DEL ECUADOR</w:t>
      </w:r>
    </w:p>
    <w:p>
      <w:pPr>
        <w:jc w:val="center"/>
        <w:spacing w:before="0" w:after="120"/>
      </w:pPr>
      <w:r>
        <w:rPr>
          <w:rFonts w:ascii="Arial" w:hAnsi="Arial"/>
          <w:b w:val="0"/>
          <w:i w:val="0"/>
          <w:color w:val="777777"/>
          <w:sz w:val="20"/>
        </w:rPr>
        <w:t>Hospital de Especialidades Eugenio Espejo | Servicio de Otorrinolaringología | Quito, Ecuador</w:t>
      </w:r>
    </w:p>
    <w:p>
      <w:pPr>
        <w:spacing w:before="40" w:after="40"/>
      </w:pPr>
    </w:p>
    <w:p>
      <w:pPr>
        <w:jc w:val="center"/>
        <w:spacing w:before="160" w:after="120"/>
      </w:pPr>
      <w:r>
        <w:rPr>
          <w:rFonts w:ascii="Arial" w:hAnsi="Arial"/>
          <w:b/>
          <w:color w:val="1F3864"/>
          <w:sz w:val="28"/>
        </w:rPr>
        <w:t xml:space="preserve">ANGINA DE LUDWIG COMPLICADA CON FASCITIS NECROTIZANTE CERVICAL EN PACIENTE DIABÉTICA: REPORTE DE UN CASO CON AISLAMIENTO DE </w:t>
      </w:r>
      <w:r>
        <w:rPr>
          <w:rFonts w:ascii="Arial" w:hAnsi="Arial"/>
          <w:b/>
          <w:i/>
          <w:color w:val="1F3864"/>
          <w:sz w:val="28"/>
        </w:rPr>
        <w:t>Klebsiella pneumoniae</w:t>
      </w:r>
      <w:r>
        <w:rPr>
          <w:rFonts w:ascii="Arial" w:hAnsi="Arial"/>
          <w:b/>
          <w:color w:val="1F3864"/>
          <w:sz w:val="28"/>
        </w:rPr>
        <w:t xml:space="preserve"> PRODUCTORA DE BLEE</w:t>
      </w:r>
    </w:p>
    <w:p>
      <w:pPr>
        <w:spacing w:before="40" w:after="40"/>
      </w:pPr>
    </w:p>
    <w:p>
      <w:pPr>
        <w:jc w:val="center"/>
        <w:spacing w:before="20" w:after="20"/>
      </w:pPr>
      <w:r>
        <w:rPr>
          <w:rFonts w:ascii="Arial" w:hAnsi="Arial"/>
          <w:b w:val="0"/>
          <w:i w:val="0"/>
          <w:sz w:val="22"/>
        </w:rPr>
        <w:t>Jean Pierre Gavilanez Heras, MD, MSc¹</w:t>
      </w:r>
    </w:p>
    <w:p>
      <w:pPr>
        <w:jc w:val="center"/>
        <w:spacing w:before="20" w:after="20"/>
      </w:pPr>
      <w:r>
        <w:rPr>
          <w:rFonts w:ascii="Arial" w:hAnsi="Arial"/>
          <w:b w:val="0"/>
          <w:i w:val="0"/>
          <w:sz w:val="22"/>
        </w:rPr>
        <w:t>Christian Alfonso Freire Zamora, MD, Esp. ORL¹*</w:t>
      </w:r>
    </w:p>
    <w:p>
      <w:pPr>
        <w:jc w:val="center"/>
        <w:spacing w:before="20" w:after="20"/>
      </w:pPr>
      <w:r>
        <w:rPr>
          <w:rFonts w:ascii="Arial" w:hAnsi="Arial"/>
          <w:b w:val="0"/>
          <w:i w:val="0"/>
          <w:sz w:val="22"/>
        </w:rPr>
        <w:t>Hernán Javier Campoverde Sánchez, MD, MSc¹</w:t>
      </w:r>
    </w:p>
    <w:p>
      <w:pPr>
        <w:jc w:val="center"/>
        <w:spacing w:before="20" w:after="20"/>
      </w:pPr>
      <w:r>
        <w:rPr>
          <w:rFonts w:ascii="Arial" w:hAnsi="Arial"/>
          <w:b w:val="0"/>
          <w:i w:val="0"/>
          <w:sz w:val="22"/>
        </w:rPr>
        <w:t>Gabriel Saenz Ortega, MD²</w:t>
      </w:r>
    </w:p>
    <w:p>
      <w:pPr>
        <w:spacing w:before="40" w:after="40"/>
      </w:pPr>
    </w:p>
    <w:p>
      <w:pPr>
        <w:jc w:val="center"/>
        <w:spacing w:before="0" w:after="20"/>
      </w:pPr>
      <w:r>
        <w:rPr>
          <w:rFonts w:ascii="Arial" w:hAnsi="Arial"/>
          <w:b w:val="0"/>
          <w:i/>
          <w:color w:val="777777"/>
          <w:sz w:val="18"/>
        </w:rPr>
        <w:t>1 Servicio de Otorrinolaringología, Hospital de Especialidades Eugenio Espejo (HEEE), Ministerio de Salud Pública del Ecuador. Quito, Ecuador.</w:t>
      </w:r>
    </w:p>
    <w:p>
      <w:pPr>
        <w:jc w:val="center"/>
        <w:spacing w:before="0" w:after="20"/>
      </w:pPr>
      <w:r>
        <w:rPr>
          <w:rFonts w:ascii="Arial" w:hAnsi="Arial"/>
          <w:b w:val="0"/>
          <w:i/>
          <w:color w:val="777777"/>
          <w:sz w:val="18"/>
        </w:rPr>
        <w:t>2 Médico independiente / Independent Physician. Quito, Ecuador.</w:t>
      </w:r>
    </w:p>
    <w:p>
      <w:pPr>
        <w:jc w:val="center"/>
        <w:spacing w:before="0" w:after="40"/>
      </w:pPr>
      <w:r>
        <w:rPr>
          <w:rFonts w:ascii="Arial" w:hAnsi="Arial"/>
          <w:b w:val="0"/>
          <w:i/>
          <w:color w:val="777777"/>
          <w:sz w:val="18"/>
        </w:rPr>
        <w:t>* Christian Alfonso Freire Zamora, MD, Esp. ORL — Especialista en ORL, Jefe del Servicio de ORL, HEEE. Tutor del caso.</w:t>
      </w:r>
    </w:p>
    <w:p>
      <w:pPr>
        <w:jc w:val="center"/>
        <w:spacing w:before="0" w:after="120"/>
      </w:pPr>
      <w:r>
        <w:rPr>
          <w:rFonts w:ascii="Arial" w:hAnsi="Arial"/>
          <w:b w:val="0"/>
          <w:i/>
          <w:color w:val="777777"/>
          <w:sz w:val="18"/>
        </w:rPr>
        <w:t>ORCIDs: J.P.: 0009-0008-6518-6041 | C.A.: 0000-0003-2237-1462 | H.J.: 0009-0000-4802-0105 | G.S.: 0009-0009-5669-1027</w:t>
      </w:r>
    </w:p>
    <w:p>
      <w:pPr>
        <w:spacing w:before="40" w:after="40"/>
      </w:pPr>
    </w:p>
    <w:p>
      <w:pPr>
        <w:jc w:val="center"/>
        <w:spacing w:before="80" w:after="40"/>
      </w:pPr>
      <w:r>
        <w:rPr>
          <w:rFonts w:ascii="Arial" w:hAnsi="Arial"/>
          <w:b/>
          <w:i w:val="0"/>
          <w:sz w:val="20"/>
        </w:rPr>
        <w:t>Correspondencia:</w:t>
      </w:r>
    </w:p>
    <w:p>
      <w:pPr>
        <w:jc w:val="center"/>
        <w:spacing w:before="20" w:after="20"/>
      </w:pPr>
      <w:r>
        <w:rPr>
          <w:rFonts w:ascii="Arial" w:hAnsi="Arial"/>
          <w:b w:val="0"/>
          <w:i w:val="0"/>
          <w:sz w:val="20"/>
        </w:rPr>
        <w:t>Jean Pierre Gavilanez Heras, MD, MSc</w:t>
      </w:r>
    </w:p>
    <w:p>
      <w:pPr>
        <w:jc w:val="center"/>
        <w:spacing w:before="20" w:after="20"/>
      </w:pPr>
      <w:r>
        <w:rPr>
          <w:rFonts w:ascii="Arial" w:hAnsi="Arial"/>
          <w:b w:val="0"/>
          <w:i w:val="0"/>
          <w:sz w:val="20"/>
        </w:rPr>
        <w:t>jean.gavilanez@hee.gob.ec  |  ORCID: 0009-0008-6518-6041</w:t>
      </w:r>
    </w:p>
    <w:p>
      <w:pPr>
        <w:jc w:val="center"/>
        <w:spacing w:before="20" w:after="120"/>
      </w:pPr>
      <w:r>
        <w:rPr>
          <w:rFonts w:ascii="Arial" w:hAnsi="Arial"/>
          <w:b w:val="0"/>
          <w:i w:val="0"/>
          <w:sz w:val="20"/>
        </w:rPr>
        <w:t>Hospital de Especialidades Eugenio Espejo, Quito, Ecuador</w:t>
      </w:r>
    </w:p>
    <w:p>
      <w:pPr>
        <w:jc w:val="center"/>
        <w:spacing w:before="80" w:after="40"/>
      </w:pPr>
      <w:r>
        <w:rPr>
          <w:rFonts w:ascii="Arial" w:hAnsi="Arial"/>
          <w:b w:val="0"/>
          <w:i/>
          <w:color w:val="777777"/>
          <w:sz w:val="18"/>
        </w:rPr>
        <w:t>Conflicto de intereses: Ninguno.  |  Financiamiento: Ninguno.  |  Consentimiento informado: Obtenido.</w:t>
      </w:r>
    </w:p>
    <w:p>
      <w:r>
        <w:br w:type="page"/>
      </w:r>
    </w:p>
    <w:p>
      <w:pPr>
        <w:pStyle w:val="Heading1"/>
        <w:spacing w:before="240" w:after="120"/>
        <w:pBdr>
          <w:bottom w:val="single" w:sz="8" w:space="4" w:color="2E75B6"/>
        </w:pBdr>
      </w:pPr>
      <w:r>
        <w:t>RESUMEN</w:t>
      </w:r>
    </w:p>
    <w:p>
      <w:pPr>
        <w:jc w:val="both"/>
        <w:spacing w:before="80" w:after="80" w:line="276" w:lineRule="auto"/>
      </w:pPr>
      <w:r>
        <w:rPr>
          <w:rFonts w:ascii="Arial" w:hAnsi="Arial"/>
          <w:b/>
          <w:i w:val="0"/>
          <w:sz w:val="22"/>
        </w:rPr>
        <w:t xml:space="preserve">Introducción: </w:t>
      </w:r>
      <w:r>
        <w:rPr>
          <w:rFonts w:ascii="Arial" w:hAnsi="Arial"/>
          <w:b w:val="0"/>
          <w:i w:val="0"/>
          <w:sz w:val="22"/>
        </w:rPr>
        <w:t>La Angina de Ludwig es una celulitis indurada bilateral del suelo de la boca que, sin tratamiento oportuno, puede progresar a fascitis necrotizante cervical (FNC) con mortalidad del 15–40%. La diabetes mellitus (DM) es el principal factor de riesgo de progresión.</w:t>
        <w:br/>
      </w:r>
    </w:p>
    <w:p>
      <w:pPr>
        <w:jc w:val="both"/>
        <w:spacing w:before="80" w:after="80" w:line="276" w:lineRule="auto"/>
      </w:pPr>
      <w:r>
        <w:rPr>
          <w:rFonts w:ascii="Arial" w:hAnsi="Arial"/>
          <w:b/>
          <w:i w:val="0"/>
          <w:sz w:val="22"/>
        </w:rPr>
        <w:t xml:space="preserve">Presentación del caso: </w:t>
      </w:r>
    </w:p>
    <w:p>
      <w:pPr>
        <w:jc w:val="both"/>
        <w:spacing w:before="80" w:after="80" w:line="276" w:lineRule="auto"/>
      </w:pPr>
      <w:r>
        <w:rPr>
          <w:rFonts w:ascii="Arial" w:hAnsi="Arial"/>
          <w:b/>
          <w:color w:val="FF6600"/>
          <w:sz w:val="22"/>
        </w:rPr>
        <w:t>⚠ [AI_PENDIENTE: Redactar párrafo de presentación del caso resumiendo datos clave del paciente, hallazgos de laboratorio, cultivos y evolución (máx. 150 palabras)]</w:t>
      </w:r>
    </w:p>
    <w:p>
      <w:pPr>
        <w:jc w:val="both"/>
        <w:spacing w:before="80" w:after="80" w:line="276" w:lineRule="auto"/>
      </w:pPr>
      <w:r>
        <w:rPr>
          <w:rFonts w:ascii="Arial" w:hAnsi="Arial"/>
          <w:b/>
          <w:i w:val="0"/>
          <w:sz w:val="22"/>
        </w:rPr>
        <w:t xml:space="preserve">Conclusiones: </w:t>
      </w:r>
    </w:p>
    <w:p>
      <w:pPr>
        <w:jc w:val="both"/>
        <w:spacing w:before="80" w:after="80" w:line="276" w:lineRule="auto"/>
      </w:pPr>
      <w:r>
        <w:rPr>
          <w:rFonts w:ascii="Arial" w:hAnsi="Arial"/>
          <w:b/>
          <w:color w:val="FF6600"/>
          <w:sz w:val="22"/>
        </w:rPr>
        <w:t>⚠ [AI_PENDIENTE: Redactar conclusión del resumen en 2-3 oraciones]</w:t>
      </w:r>
    </w:p>
    <w:p>
      <w:pPr>
        <w:jc w:val="both"/>
        <w:spacing w:before="80" w:after="80" w:line="276" w:lineRule="auto"/>
      </w:pPr>
      <w:r>
        <w:rPr>
          <w:rFonts w:ascii="Arial" w:hAnsi="Arial"/>
          <w:b/>
          <w:i/>
          <w:sz w:val="22"/>
        </w:rPr>
        <w:t xml:space="preserve">Palabras clave: </w:t>
      </w:r>
      <w:r>
        <w:rPr>
          <w:rFonts w:ascii="Arial" w:hAnsi="Arial"/>
          <w:b w:val="0"/>
          <w:i/>
          <w:sz w:val="22"/>
        </w:rPr>
        <w:t>Angina de Ludwig; fascitis necrotizante cervical; infección odontogénica; Klebsiella pneumoniae BLEE; diabetes mellitus; desbridamiento quirúrgico; meropenem; Hospital Eugenio Espejo.</w:t>
      </w:r>
    </w:p>
    <w:p>
      <w:r>
        <w:br w:type="page"/>
      </w:r>
    </w:p>
    <w:p>
      <w:pPr>
        <w:pStyle w:val="Heading1"/>
        <w:spacing w:before="240" w:after="120"/>
        <w:pBdr>
          <w:bottom w:val="single" w:sz="8" w:space="4" w:color="2E75B6"/>
        </w:pBdr>
      </w:pPr>
      <w:r>
        <w:t>1. INTRODUCCIÓN</w:t>
      </w:r>
    </w:p>
    <w:p>
      <w:pPr>
        <w:pStyle w:val="Heading2"/>
        <w:spacing w:before="200" w:after="80"/>
      </w:pPr>
      <w:r>
        <w:t>1.1 Angina de Ludwig: definición y anatomía</w:t>
      </w:r>
    </w:p>
    <w:p>
      <w:pPr>
        <w:jc w:val="both"/>
        <w:spacing w:before="80" w:after="80" w:line="276" w:lineRule="auto"/>
      </w:pPr>
      <w:r>
        <w:rPr>
          <w:rFonts w:ascii="Arial" w:hAnsi="Arial"/>
          <w:b/>
          <w:color w:val="FF6600"/>
          <w:sz w:val="22"/>
        </w:rPr>
        <w:t>⚠ [AI_PENDIENTE: Describir definición anatómica, espacios comprometidos y comunicación con espacio retrofaríngeo/mediastino. Incluir citas 1,2,3,4]</w:t>
      </w:r>
    </w:p>
    <w:p>
      <w:pPr>
        <w:pStyle w:val="Heading2"/>
        <w:spacing w:before="200" w:after="80"/>
      </w:pPr>
      <w:r>
        <w:t>1.2 Epidemiología y factores de riesgo</w:t>
      </w:r>
    </w:p>
    <w:p>
      <w:pPr>
        <w:jc w:val="both"/>
        <w:spacing w:before="80" w:after="80" w:line="276" w:lineRule="auto"/>
      </w:pPr>
      <w:r>
        <w:rPr>
          <w:rFonts w:ascii="Arial" w:hAnsi="Arial"/>
          <w:b/>
          <w:color w:val="FF6600"/>
          <w:sz w:val="22"/>
        </w:rPr>
        <w:t>⚠ [AI_PENDIENTE: Epidemiología, etiología odontogénica, DM como factor de riesgo. Citas 5,6,8,21,25]</w:t>
      </w:r>
    </w:p>
    <w:p>
      <w:pPr>
        <w:pStyle w:val="Heading2"/>
        <w:spacing w:before="200" w:after="80"/>
      </w:pPr>
      <w:r>
        <w:t>1.3 Progresión a fascitis necrotizante cervical</w:t>
      </w:r>
    </w:p>
    <w:p>
      <w:pPr>
        <w:jc w:val="both"/>
        <w:spacing w:before="80" w:after="80" w:line="276" w:lineRule="auto"/>
      </w:pPr>
      <w:r>
        <w:rPr>
          <w:rFonts w:ascii="Arial" w:hAnsi="Arial"/>
          <w:b/>
          <w:color w:val="FF6600"/>
          <w:sz w:val="22"/>
        </w:rPr>
        <w:t>⚠ [AI_PENDIENTE: Definir FNC, mortalidad, tríada diagnóstica. Citas 4,9,10]</w:t>
      </w:r>
    </w:p>
    <w:p>
      <w:pPr>
        <w:jc w:val="both"/>
        <w:spacing w:before="80" w:after="80" w:line="276" w:lineRule="auto"/>
      </w:pPr>
      <w:r>
        <w:rPr>
          <w:rFonts w:ascii="Arial" w:hAnsi="Arial"/>
          <w:b/>
          <w:color w:val="FF6600"/>
          <w:sz w:val="22"/>
        </w:rPr>
        <w:t>⚠ [AI_PENDIENTE: Redactar objetivo del reporte mencionando diagnóstico, microorganismo, contexto de DM2 y aspectos a analizar. Incluir citas 1,21]</w:t>
      </w:r>
    </w:p>
    <w:p>
      <w:r>
        <w:br w:type="page"/>
      </w:r>
    </w:p>
    <w:p>
      <w:pPr>
        <w:pStyle w:val="Heading1"/>
        <w:spacing w:before="240" w:after="120"/>
        <w:pBdr>
          <w:bottom w:val="single" w:sz="8" w:space="4" w:color="2E75B6"/>
        </w:pBdr>
      </w:pPr>
      <w:r>
        <w:t>2. PRESENTACIÓN DEL CASO</w:t>
      </w:r>
    </w:p>
    <w:p>
      <w:pPr>
        <w:jc w:val="both"/>
        <w:spacing w:before="80" w:after="80" w:line="276" w:lineRule="auto"/>
      </w:pPr>
      <w:r>
        <w:rPr>
          <w:rFonts w:ascii="Arial" w:hAnsi="Arial"/>
          <w:b w:val="0"/>
          <w:i w:val="0"/>
          <w:sz w:val="22"/>
        </w:rPr>
        <w:t>Presentado con consentimiento informado de la paciente, en cumplimiento de la Ley Orgánica de Salud del Ecuador. La identidad se protege mediante iniciales.</w:t>
      </w:r>
    </w:p>
    <w:p>
      <w:pPr>
        <w:pStyle w:val="Heading2"/>
        <w:spacing w:before="200" w:after="80"/>
      </w:pPr>
      <w:r>
        <w:t>2.1 Datos generales</w:t>
      </w:r>
    </w:p>
    <w:p>
      <w:pPr>
        <w:jc w:val="left"/>
        <w:spacing w:before="200" w:after="80"/>
      </w:pPr>
      <w:r>
        <w:rPr>
          <w:rFonts w:ascii="Arial" w:hAnsi="Arial"/>
          <w:b/>
          <w:color w:val="1F3864"/>
          <w:sz w:val="22"/>
        </w:rPr>
        <w:t xml:space="preserve">Cuadro 1. </w:t>
      </w:r>
      <w:r>
        <w:rPr>
          <w:rFonts w:ascii="Arial" w:hAnsi="Arial"/>
          <w:sz w:val="22"/>
        </w:rPr>
        <w:t>Datos generales de la paciente</w:t>
      </w: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Parámetro</w:t>
            </w:r>
          </w:p>
        </w:tc>
        <w:tc>
          <w:tcPr>
            <w:tcW w:type="dxa" w:w="5669"/>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Dato</w:t>
            </w:r>
          </w:p>
        </w:tc>
      </w:tr>
      <w:tr>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Paciente (iniciales)</w:t>
            </w:r>
          </w:p>
        </w:tc>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G.M.P.Q.</w:t>
            </w:r>
          </w:p>
        </w:tc>
      </w:tr>
      <w:tr>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Sexo / Edad</w:t>
            </w:r>
          </w:p>
        </w:tc>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Femenino, 49 años (05/07/1976)</w:t>
            </w:r>
          </w:p>
        </w:tc>
      </w:tr>
      <w:tr>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Procedencia</w:t>
            </w:r>
          </w:p>
        </w:tc>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Santo Domingo de los Tsáchilas, Ecuador</w:t>
            </w:r>
          </w:p>
        </w:tc>
      </w:tr>
      <w:tr>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Centro remitente</w:t>
            </w:r>
          </w:p>
        </w:tc>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Hospital Dr. Gustavo Domínguez Zambrano, Santo Domingo</w:t>
            </w:r>
          </w:p>
        </w:tc>
      </w:tr>
      <w:tr>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Fecha de ingreso HEEE</w:t>
            </w:r>
          </w:p>
        </w:tc>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16 de enero de 2026</w:t>
            </w:r>
          </w:p>
        </w:tc>
      </w:tr>
      <w:tr>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Servicio de ingreso</w:t>
            </w:r>
          </w:p>
        </w:tc>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Otorrinolaringología — Piso 6, HEEE, Quito</w:t>
            </w:r>
          </w:p>
        </w:tc>
      </w:tr>
      <w:tr>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Historia clínica HEEE</w:t>
            </w:r>
          </w:p>
        </w:tc>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0802060905</w:t>
            </w:r>
          </w:p>
        </w:tc>
      </w:tr>
      <w:tr>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Médico tutor / Jefe de servicio</w:t>
            </w:r>
          </w:p>
        </w:tc>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Dr. Christian Alfonso Freire Zamora, MD, Esp. ORL — Jefe del Servicio ORL, HEEE. Tutor del caso.</w:t>
            </w:r>
          </w:p>
        </w:tc>
      </w:tr>
    </w:tbl>
    <w:p>
      <w:pPr>
        <w:spacing w:before="40" w:after="40"/>
      </w:pPr>
    </w:p>
    <w:p>
      <w:pPr>
        <w:pStyle w:val="Heading2"/>
        <w:spacing w:before="200" w:after="80"/>
      </w:pPr>
      <w:r>
        <w:t>2.2 Motivo de consulta y antecedentes</w:t>
      </w:r>
    </w:p>
    <w:p>
      <w:pPr>
        <w:jc w:val="both"/>
        <w:spacing w:before="80" w:after="80" w:line="276" w:lineRule="auto"/>
      </w:pPr>
      <w:r>
        <w:rPr>
          <w:rFonts w:ascii="Arial" w:hAnsi="Arial"/>
          <w:b w:val="0"/>
          <w:i w:val="0"/>
          <w:sz w:val="22"/>
        </w:rPr>
        <w:t xml:space="preserve">Cuadro de aproximadamente un mes de evolución (inicio: diciembre 2025) de edema mandibular progresivo que se extiende a región cervical y tórax, alzas térmicas, disfagia y aparición de fístulas cutáneas cervicales con drenaje purulento fétido. </w:t>
      </w:r>
      <w:r>
        <w:rPr>
          <w:rFonts w:ascii="Arial" w:hAnsi="Arial"/>
          <w:b/>
          <w:i w:val="0"/>
          <w:sz w:val="22"/>
        </w:rPr>
        <w:t>Evento desencadenante: extracción molar el 14/12/2025</w:t>
      </w:r>
      <w:r>
        <w:rPr>
          <w:rFonts w:ascii="Arial" w:hAnsi="Arial"/>
          <w:b w:val="0"/>
          <w:i w:val="0"/>
          <w:sz w:val="22"/>
        </w:rPr>
        <w:t xml:space="preserve"> en contexto ambulatorio sin cobertura antibiótica documentada.</w:t>
      </w:r>
      <w:r>
        <w:rPr>
          <w:rFonts w:ascii="Arial" w:hAnsi="Arial"/>
          <w:b w:val="0"/>
          <w:i w:val="0"/>
          <w:sz w:val="22"/>
          <w:vertAlign w:val="superscript"/>
        </w:rPr>
        <w:t>22</w:t>
      </w:r>
    </w:p>
    <w:p>
      <w:pPr>
        <w:jc w:val="both"/>
        <w:spacing w:before="80" w:after="80" w:line="276" w:lineRule="auto"/>
      </w:pPr>
      <w:r>
        <w:rPr>
          <w:rFonts w:ascii="Arial" w:hAnsi="Arial"/>
          <w:b/>
          <w:i w:val="0"/>
          <w:sz w:val="22"/>
        </w:rPr>
        <w:t xml:space="preserve">Antecedentes: </w:t>
      </w:r>
      <w:r>
        <w:rPr>
          <w:rFonts w:ascii="Arial" w:hAnsi="Arial"/>
          <w:b w:val="0"/>
          <w:i w:val="0"/>
          <w:sz w:val="22"/>
        </w:rPr>
        <w:t>DM2 × 11 años (metformina 500 mg VO). Cardiopatía hipertensiva sin IC congestiva (CIE-10: I119). Sin alergias medicamentosas conocidas.</w:t>
      </w:r>
    </w:p>
    <w:p>
      <w:pPr>
        <w:jc w:val="both"/>
        <w:spacing w:before="0" w:after="80" w:line="276" w:lineRule="auto"/>
      </w:pPr>
      <w:r>
        <w:rPr>
          <w:rFonts w:ascii="Arial" w:hAnsi="Arial"/>
          <w:b w:val="0"/>
          <w:i/>
          <w:color w:val="777777"/>
          <w:sz w:val="22"/>
        </w:rPr>
        <w:t>¹ NLR: razón neutrófilo-linfocito (neutrophil-to-lymphocyte ratio). ² PLR: razón plaqueta-linfocito (platelet-to-lymphocyte ratio).</w:t>
      </w:r>
    </w:p>
    <w:p>
      <w:pPr>
        <w:pStyle w:val="Heading2"/>
        <w:spacing w:before="200" w:after="80"/>
      </w:pPr>
      <w:r>
        <w:t>2.3 Examen físico al ingreso HEEE</w:t>
      </w:r>
    </w:p>
    <w:p>
      <w:pPr>
        <w:jc w:val="left"/>
        <w:spacing w:before="200" w:after="80"/>
      </w:pPr>
      <w:r>
        <w:rPr>
          <w:rFonts w:ascii="Arial" w:hAnsi="Arial"/>
          <w:b/>
          <w:color w:val="1F3864"/>
          <w:sz w:val="22"/>
        </w:rPr>
        <w:t xml:space="preserve">Cuadro 2. </w:t>
      </w:r>
      <w:r>
        <w:rPr>
          <w:rFonts w:ascii="Arial" w:hAnsi="Arial"/>
          <w:sz w:val="22"/>
        </w:rPr>
        <w:t>Signos vitales durante el traslado al HEEE (16/01/2026)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Parámetro</w:t>
            </w:r>
          </w:p>
        </w:tc>
        <w:tc>
          <w:tcPr>
            <w:tcW w:type="dxa" w:w="198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Valor inicial</w:t>
            </w:r>
          </w:p>
        </w:tc>
        <w:tc>
          <w:tcPr>
            <w:tcW w:type="dxa" w:w="198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Valor final</w:t>
            </w:r>
          </w:p>
        </w:tc>
        <w:tc>
          <w:tcPr>
            <w:tcW w:type="dxa" w:w="226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Referencia</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FC (lpm)</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~85</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~104</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60–100</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Temperatura (°C)</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39,2</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38,8</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36,5–37,5</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TA (mmHg)</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~152/89</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~105/75</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&lt; 130/80</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FR (rpm)</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20</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20</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12–20</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SpO2 (%)</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99</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94</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 95</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Glasgow</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15/15</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15/15</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15/15</w:t>
            </w:r>
          </w:p>
        </w:tc>
      </w:tr>
    </w:tbl>
    <w:p>
      <w:pPr>
        <w:spacing w:before="40" w:after="40"/>
      </w:pPr>
    </w:p>
    <w:p>
      <w:pPr>
        <w:jc w:val="both"/>
        <w:spacing w:before="80" w:after="80" w:line="276" w:lineRule="auto"/>
      </w:pPr>
      <w:r>
        <w:rPr>
          <w:rFonts w:ascii="Arial" w:hAnsi="Arial"/>
          <w:b w:val="0"/>
          <w:i w:val="0"/>
          <w:sz w:val="22"/>
        </w:rPr>
        <w:t>Hallazgos clínicos relevantes al ingreso:</w:t>
      </w:r>
    </w:p>
    <w:p>
      <w:pPr>
        <w:pStyle w:val="ListBullet"/>
        <w:spacing w:before="60" w:after="60"/>
      </w:pPr>
      <w:r>
        <w:rPr>
          <w:rFonts w:ascii="Arial" w:hAnsi="Arial"/>
          <w:sz w:val="22"/>
        </w:rPr>
        <w:t>Necrosis tisular extensa en región cervical anterior y lateral con escara negra y áreas de tejido fibrinoide amarillento.</w:t>
      </w:r>
    </w:p>
    <w:p>
      <w:pPr>
        <w:pStyle w:val="ListBullet"/>
        <w:spacing w:before="60" w:after="60"/>
      </w:pPr>
      <w:r>
        <w:rPr>
          <w:rFonts w:ascii="Arial" w:hAnsi="Arial"/>
          <w:sz w:val="22"/>
        </w:rPr>
        <w:t>Fístulas cutáneas activas con drenaje de líquido purulento fétido. Edema indurado submandibular-supraclavicular bilateral.</w:t>
      </w:r>
    </w:p>
    <w:p>
      <w:pPr>
        <w:pStyle w:val="ListBullet"/>
        <w:spacing w:before="60" w:after="60"/>
      </w:pPr>
      <w:r>
        <w:rPr>
          <w:rFonts w:ascii="Arial" w:hAnsi="Arial"/>
          <w:sz w:val="22"/>
        </w:rPr>
        <w:t>Trismus funcional. Voz empastada. Sin estridor audible al ingreso. SpO2 94% durante el traslado.</w:t>
      </w:r>
    </w:p>
    <w:p>
      <w:pPr>
        <w:pStyle w:val="ListBullet"/>
        <w:spacing w:before="60" w:after="60"/>
      </w:pPr>
      <w:r>
        <w:rPr>
          <w:rFonts w:ascii="Arial" w:hAnsi="Arial"/>
          <w:sz w:val="22"/>
        </w:rPr>
        <w:t>Taquicardia (FC ~104 lpm). Temperatura 38,8–39,2°C. Edema grado 2+ en miembros inferiores.</w:t>
      </w:r>
    </w:p>
    <w:p>
      <w:pPr>
        <w:pStyle w:val="Heading2"/>
        <w:spacing w:before="200" w:after="80"/>
      </w:pPr>
      <w:r>
        <w:t>2.4 Exámenes de laboratorio preingreso</w:t>
      </w:r>
    </w:p>
    <w:p>
      <w:pPr>
        <w:jc w:val="left"/>
        <w:spacing w:before="200" w:after="80"/>
      </w:pPr>
      <w:r>
        <w:rPr>
          <w:rFonts w:ascii="Arial" w:hAnsi="Arial"/>
          <w:b/>
          <w:color w:val="1F3864"/>
          <w:sz w:val="22"/>
        </w:rPr>
        <w:t xml:space="preserve">Cuadro 3. </w:t>
      </w:r>
      <w:r>
        <w:rPr>
          <w:rFonts w:ascii="Arial" w:hAnsi="Arial"/>
          <w:sz w:val="22"/>
        </w:rPr>
        <w:t>Evolución de laboratorios preingreso — Hospital Dr. Gustavo Domínguez Zambrano (15–16/01/2026)</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Parámetro</w:t>
            </w:r>
          </w:p>
        </w:tc>
        <w:tc>
          <w:tcPr>
            <w:tcW w:type="dxa" w:w="1587"/>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15/01 15:00 h</w:t>
            </w:r>
          </w:p>
        </w:tc>
        <w:tc>
          <w:tcPr>
            <w:tcW w:type="dxa" w:w="1587"/>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16/01 01:41 h</w:t>
            </w:r>
          </w:p>
        </w:tc>
        <w:tc>
          <w:tcPr>
            <w:tcW w:type="dxa" w:w="1587"/>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16/01 10:50 h</w:t>
            </w:r>
          </w:p>
        </w:tc>
        <w:tc>
          <w:tcPr>
            <w:tcW w:type="dxa" w:w="1757"/>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Referencia</w:t>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Leucocitos x10³/µL</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13,17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10,42</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19,55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4,0–10,0</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Neutrófilos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83,3</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75,4</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79,4</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50–70</w:t>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NLR¹</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9,3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5,6</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7,5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&lt; 3,0</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PLR²</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628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479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648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&lt; 150</w:t>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Hemoglobina (g/dL)</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9,7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8,2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8,9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12,3–15,3</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Plaquetas x10³/µL</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741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675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727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149–409</w:t>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Glucosa (mg/dL)</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299,7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164,9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60–100</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Sodio (mEq/L)</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126,9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130,6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136–145</w:t>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Potasio (mEq/L)</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3,3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3,1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3,5–5,1</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pH (gasometría)</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7,581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7,35–7,45</w:t>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Lactato (mmol/L)</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0,6–1,7</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HBsAg / Anti-VHC</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NEG / NEG</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Negativos</w:t>
            </w:r>
          </w:p>
        </w:tc>
      </w:tr>
    </w:tbl>
    <w:p>
      <w:pPr>
        <w:spacing w:before="40" w:after="40"/>
      </w:pPr>
    </w:p>
    <w:p>
      <w:r>
        <w:br w:type="page"/>
      </w:r>
    </w:p>
    <w:p>
      <w:pPr>
        <w:pStyle w:val="Heading1"/>
        <w:spacing w:before="240" w:after="120"/>
        <w:pBdr>
          <w:bottom w:val="single" w:sz="8" w:space="4" w:color="2E75B6"/>
        </w:pBdr>
      </w:pPr>
      <w:r>
        <w:t>3. ESTUDIOS DE IMAGEN</w:t>
      </w:r>
    </w:p>
    <w:p>
      <w:pPr>
        <w:pStyle w:val="Heading2"/>
        <w:spacing w:before="200" w:after="80"/>
      </w:pPr>
      <w:r>
        <w:t>3.1 Plano sagital — TAC simple de cuello y tórax</w:t>
      </w:r>
    </w:p>
    <w:p>
      <w:pPr>
        <w:jc w:val="both"/>
        <w:spacing w:before="80" w:after="80" w:line="276" w:lineRule="auto"/>
      </w:pPr>
      <w:r>
        <w:rPr>
          <w:rFonts w:ascii="Arial" w:hAnsi="Arial"/>
          <w:b w:val="0"/>
          <w:i w:val="0"/>
          <w:sz w:val="22"/>
        </w:rPr>
        <w:t>La TAC simple de cuello y tórax (sin contraste) del 17/01/2026 reportó gas en región cervical bilateral y anterior, con colección en región pectoral izquierda. Los cortes sagitales (Figuras 1–3) demuestran gas en tejidos blandos cervicales, colección purulenta retrofaríngea y extensión infero-superior del proceso necrotizante desde C3 hasta la región supraclavicular.</w:t>
      </w:r>
      <w:r>
        <w:rPr>
          <w:rFonts w:ascii="Arial" w:hAnsi="Arial"/>
          <w:b w:val="0"/>
          <w:i w:val="0"/>
          <w:sz w:val="22"/>
          <w:vertAlign w:val="superscript"/>
        </w:rPr>
        <w:t>11,23</w:t>
      </w:r>
    </w:p>
    <w:tbl>
      <w:tblPr>
        <w:tblW w:type="auto" w:w="0"/>
        <w:jc w:val="center"/>
        <w:tblLook w:firstColumn="1" w:firstRow="1" w:lastColumn="0" w:lastRow="0" w:noHBand="0" w:noVBand="1" w:val="04A0"/>
      </w:tblPr>
      <w:tblGrid>
        <w:gridCol w:w="3135"/>
        <w:gridCol w:w="3135"/>
        <w:gridCol w:w="3135"/>
      </w:tblGrid>
      <w:tr>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1812000"/>
                  <wp:docPr id="1" name="Picture 1"/>
                  <wp:cNvGraphicFramePr>
                    <a:graphicFrameLocks noChangeAspect="1"/>
                  </wp:cNvGraphicFramePr>
                  <a:graphic>
                    <a:graphicData uri="http://schemas.openxmlformats.org/drawingml/2006/picture">
                      <pic:pic>
                        <pic:nvPicPr>
                          <pic:cNvPr id="0" name="tac1_sagital_gas.jpg"/>
                          <pic:cNvPicPr/>
                        </pic:nvPicPr>
                        <pic:blipFill>
                          <a:blip r:embed="rId9"/>
                          <a:stretch>
                            <a:fillRect/>
                          </a:stretch>
                        </pic:blipFill>
                        <pic:spPr>
                          <a:xfrm>
                            <a:off x="0" y="0"/>
                            <a:ext cx="1812000" cy="1812000"/>
                          </a:xfrm>
                          <a:prstGeom prst="rect"/>
                        </pic:spPr>
                      </pic:pic>
                    </a:graphicData>
                  </a:graphic>
                </wp:inline>
              </w:drawing>
            </w:r>
          </w:p>
        </w:tc>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1812000"/>
                  <wp:docPr id="2" name="Picture 2"/>
                  <wp:cNvGraphicFramePr>
                    <a:graphicFrameLocks noChangeAspect="1"/>
                  </wp:cNvGraphicFramePr>
                  <a:graphic>
                    <a:graphicData uri="http://schemas.openxmlformats.org/drawingml/2006/picture">
                      <pic:pic>
                        <pic:nvPicPr>
                          <pic:cNvPr id="0" name="tac2_sagital_coleccion.jpg"/>
                          <pic:cNvPicPr/>
                        </pic:nvPicPr>
                        <pic:blipFill>
                          <a:blip r:embed="rId10"/>
                          <a:stretch>
                            <a:fillRect/>
                          </a:stretch>
                        </pic:blipFill>
                        <pic:spPr>
                          <a:xfrm>
                            <a:off x="0" y="0"/>
                            <a:ext cx="1812000" cy="1812000"/>
                          </a:xfrm>
                          <a:prstGeom prst="rect"/>
                        </pic:spPr>
                      </pic:pic>
                    </a:graphicData>
                  </a:graphic>
                </wp:inline>
              </w:drawing>
            </w:r>
          </w:p>
        </w:tc>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1812000"/>
                  <wp:docPr id="3" name="Picture 3"/>
                  <wp:cNvGraphicFramePr>
                    <a:graphicFrameLocks noChangeAspect="1"/>
                  </wp:cNvGraphicFramePr>
                  <a:graphic>
                    <a:graphicData uri="http://schemas.openxmlformats.org/drawingml/2006/picture">
                      <pic:pic>
                        <pic:nvPicPr>
                          <pic:cNvPr id="0" name="tac3_sagital_extension.jpg"/>
                          <pic:cNvPicPr/>
                        </pic:nvPicPr>
                        <pic:blipFill>
                          <a:blip r:embed="rId11"/>
                          <a:stretch>
                            <a:fillRect/>
                          </a:stretch>
                        </pic:blipFill>
                        <pic:spPr>
                          <a:xfrm>
                            <a:off x="0" y="0"/>
                            <a:ext cx="1812000" cy="1812000"/>
                          </a:xfrm>
                          <a:prstGeom prst="rect"/>
                        </pic:spPr>
                      </pic:pic>
                    </a:graphicData>
                  </a:graphic>
                </wp:inline>
              </w:drawing>
            </w:r>
          </w:p>
        </w:tc>
      </w:tr>
      <w:tr>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 </w:t>
            </w:r>
            <w:r>
              <w:rPr>
                <w:rFonts w:ascii="Arial" w:hAnsi="Arial"/>
                <w:i/>
                <w:color w:val="777777"/>
                <w:sz w:val="18"/>
              </w:rPr>
              <w:t>TAC sagital (16/01/2026): gas retrofaríngeo (burbujas hipodensas) y colección purulenta cervical. Proceso necrotizante con gas difuso en tejidos blandos, signo patognomónico de FNC.</w:t>
            </w:r>
          </w:p>
        </w:tc>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2. </w:t>
            </w:r>
            <w:r>
              <w:rPr>
                <w:rFonts w:ascii="Arial" w:hAnsi="Arial"/>
                <w:i/>
                <w:color w:val="777777"/>
                <w:sz w:val="18"/>
              </w:rPr>
              <w:t>TAC sagital (16/01/2026): colección purulenta con múltiples burbujas de gas en espacios cervicales profundos. Extensión desde el espacio retrofaríngeo hacia el mediastino superior.</w:t>
            </w:r>
          </w:p>
        </w:tc>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3. </w:t>
            </w:r>
            <w:r>
              <w:rPr>
                <w:rFonts w:ascii="Arial" w:hAnsi="Arial"/>
                <w:i/>
                <w:color w:val="777777"/>
                <w:sz w:val="18"/>
              </w:rPr>
              <w:t>TAC sagital (16/01/2026): extensión inferosuperior del proceso necrotizante cervical bilateral desde C3 hasta la región supraclavicular con compromiso del espacio peligroso.</w:t>
            </w:r>
          </w:p>
        </w:tc>
      </w:tr>
    </w:tbl>
    <w:p>
      <w:pPr>
        <w:spacing w:before="40" w:after="40"/>
      </w:pPr>
    </w:p>
    <w:p>
      <w:pPr>
        <w:pStyle w:val="Heading2"/>
        <w:spacing w:before="200" w:after="80"/>
      </w:pPr>
      <w:r>
        <w:t>3.2 Plano coronal</w:t>
      </w:r>
    </w:p>
    <w:p>
      <w:pPr>
        <w:jc w:val="both"/>
        <w:spacing w:before="80" w:after="80" w:line="276" w:lineRule="auto"/>
      </w:pPr>
      <w:r>
        <w:rPr>
          <w:rFonts w:ascii="Arial" w:hAnsi="Arial"/>
          <w:b w:val="0"/>
          <w:i w:val="0"/>
          <w:sz w:val="22"/>
        </w:rPr>
        <w:t>Los cortes coronales (Figuras 4–6) muestran el absceso necrotizante cervical bilateral, gas difuso en los espacios fasciales profundos del cuello y la extensión hacia el mediastino superior.</w:t>
      </w:r>
      <w:r>
        <w:rPr>
          <w:rFonts w:ascii="Arial" w:hAnsi="Arial"/>
          <w:b w:val="0"/>
          <w:i w:val="0"/>
          <w:sz w:val="22"/>
          <w:vertAlign w:val="superscript"/>
        </w:rPr>
        <w:t>11,12</w:t>
      </w:r>
    </w:p>
    <w:tbl>
      <w:tblPr>
        <w:tblW w:type="auto" w:w="0"/>
        <w:jc w:val="center"/>
        <w:tblLook w:firstColumn="1" w:firstRow="1" w:lastColumn="0" w:lastRow="0" w:noHBand="0" w:noVBand="1" w:val="04A0"/>
      </w:tblPr>
      <w:tblGrid>
        <w:gridCol w:w="3135"/>
        <w:gridCol w:w="3135"/>
        <w:gridCol w:w="3135"/>
      </w:tblGrid>
      <w:tr>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2215453"/>
                  <wp:docPr id="4" name="Picture 4"/>
                  <wp:cNvGraphicFramePr>
                    <a:graphicFrameLocks noChangeAspect="1"/>
                  </wp:cNvGraphicFramePr>
                  <a:graphic>
                    <a:graphicData uri="http://schemas.openxmlformats.org/drawingml/2006/picture">
                      <pic:pic>
                        <pic:nvPicPr>
                          <pic:cNvPr id="0" name="tac4_coronal_absceso.jpg"/>
                          <pic:cNvPicPr/>
                        </pic:nvPicPr>
                        <pic:blipFill>
                          <a:blip r:embed="rId12"/>
                          <a:stretch>
                            <a:fillRect/>
                          </a:stretch>
                        </pic:blipFill>
                        <pic:spPr>
                          <a:xfrm>
                            <a:off x="0" y="0"/>
                            <a:ext cx="1812000" cy="2215453"/>
                          </a:xfrm>
                          <a:prstGeom prst="rect"/>
                        </pic:spPr>
                      </pic:pic>
                    </a:graphicData>
                  </a:graphic>
                </wp:inline>
              </w:drawing>
            </w:r>
          </w:p>
        </w:tc>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2215453"/>
                  <wp:docPr id="5" name="Picture 5"/>
                  <wp:cNvGraphicFramePr>
                    <a:graphicFrameLocks noChangeAspect="1"/>
                  </wp:cNvGraphicFramePr>
                  <a:graphic>
                    <a:graphicData uri="http://schemas.openxmlformats.org/drawingml/2006/picture">
                      <pic:pic>
                        <pic:nvPicPr>
                          <pic:cNvPr id="0" name="tac5_coronal_gas.jpg"/>
                          <pic:cNvPicPr/>
                        </pic:nvPicPr>
                        <pic:blipFill>
                          <a:blip r:embed="rId13"/>
                          <a:stretch>
                            <a:fillRect/>
                          </a:stretch>
                        </pic:blipFill>
                        <pic:spPr>
                          <a:xfrm>
                            <a:off x="0" y="0"/>
                            <a:ext cx="1812000" cy="2215453"/>
                          </a:xfrm>
                          <a:prstGeom prst="rect"/>
                        </pic:spPr>
                      </pic:pic>
                    </a:graphicData>
                  </a:graphic>
                </wp:inline>
              </w:drawing>
            </w:r>
          </w:p>
        </w:tc>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2215453"/>
                  <wp:docPr id="6" name="Picture 6"/>
                  <wp:cNvGraphicFramePr>
                    <a:graphicFrameLocks noChangeAspect="1"/>
                  </wp:cNvGraphicFramePr>
                  <a:graphic>
                    <a:graphicData uri="http://schemas.openxmlformats.org/drawingml/2006/picture">
                      <pic:pic>
                        <pic:nvPicPr>
                          <pic:cNvPr id="0" name="tac6_coronal_espacios.jpg"/>
                          <pic:cNvPicPr/>
                        </pic:nvPicPr>
                        <pic:blipFill>
                          <a:blip r:embed="rId14"/>
                          <a:stretch>
                            <a:fillRect/>
                          </a:stretch>
                        </pic:blipFill>
                        <pic:spPr>
                          <a:xfrm>
                            <a:off x="0" y="0"/>
                            <a:ext cx="1812000" cy="2215453"/>
                          </a:xfrm>
                          <a:prstGeom prst="rect"/>
                        </pic:spPr>
                      </pic:pic>
                    </a:graphicData>
                  </a:graphic>
                </wp:inline>
              </w:drawing>
            </w:r>
          </w:p>
        </w:tc>
      </w:tr>
      <w:tr>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4. </w:t>
            </w:r>
            <w:r>
              <w:rPr>
                <w:rFonts w:ascii="Arial" w:hAnsi="Arial"/>
                <w:i/>
                <w:color w:val="777777"/>
                <w:sz w:val="18"/>
              </w:rPr>
              <w:t>TAC coronal (16/01/2026): absceso necrotizante cervical bilateral. Ocupación de los espacios fasciales profundos con gas (hipodensidades puntiformes) en ambos lados del cuello.</w:t>
            </w:r>
          </w:p>
        </w:tc>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5. </w:t>
            </w:r>
            <w:r>
              <w:rPr>
                <w:rFonts w:ascii="Arial" w:hAnsi="Arial"/>
                <w:i/>
                <w:color w:val="777777"/>
                <w:sz w:val="18"/>
              </w:rPr>
              <w:t>TAC coronal (16/01/2026): gas retrofaríngeo bilateral y engrosamiento difuso de tejidos blandos cervicales. Sin desplazamiento laríngeo ni extensión mediastínica al momento del estudio.</w:t>
            </w:r>
          </w:p>
        </w:tc>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6. </w:t>
            </w:r>
            <w:r>
              <w:rPr>
                <w:rFonts w:ascii="Arial" w:hAnsi="Arial"/>
                <w:i/>
                <w:color w:val="777777"/>
                <w:sz w:val="18"/>
              </w:rPr>
              <w:t>TAC coronal (16/01/2026): compromiso bilateral de espacios fasciales profundos cervicales con gas y proceso inflamatorio difuso. Nótese la asimetría del proceso con mayor afectación derecha.</w:t>
            </w:r>
          </w:p>
        </w:tc>
      </w:tr>
    </w:tbl>
    <w:p>
      <w:pPr>
        <w:spacing w:before="40" w:after="40"/>
      </w:pPr>
    </w:p>
    <w:p>
      <w:pPr>
        <w:pStyle w:val="Heading2"/>
        <w:spacing w:before="200" w:after="80"/>
      </w:pPr>
      <w:r>
        <w:t>3.3 Plano axial</w:t>
      </w:r>
    </w:p>
    <w:p>
      <w:pPr>
        <w:jc w:val="both"/>
        <w:spacing w:before="80" w:after="80" w:line="276" w:lineRule="auto"/>
      </w:pPr>
      <w:r>
        <w:rPr>
          <w:rFonts w:ascii="Arial" w:hAnsi="Arial"/>
          <w:b w:val="0"/>
          <w:i w:val="0"/>
          <w:sz w:val="22"/>
        </w:rPr>
        <w:t>Los cortes axiales (Figuras 7 y 8) muestran la afectación bilateral de los espacios parafaríngeos y submandibulares con hipodensidades compatible con gas extrafascial — hallazgo patognomónico de FNC.</w:t>
      </w:r>
      <w:r>
        <w:rPr>
          <w:rFonts w:ascii="Arial" w:hAnsi="Arial"/>
          <w:b w:val="0"/>
          <w:i w:val="0"/>
          <w:sz w:val="22"/>
          <w:vertAlign w:val="superscript"/>
        </w:rPr>
        <w:t>10,11,23</w:t>
      </w:r>
    </w:p>
    <w:tbl>
      <w:tblPr>
        <w:tblW w:type="auto" w:w="0"/>
        <w:jc w:val="center"/>
        <w:tblLook w:firstColumn="1" w:firstRow="1" w:lastColumn="0" w:lastRow="0" w:noHBand="0" w:noVBand="1" w:val="04A0"/>
      </w:tblPr>
      <w:tblGrid>
        <w:gridCol w:w="4703"/>
        <w:gridCol w:w="4703"/>
      </w:tblGrid>
      <w:tr>
        <w:tc>
          <w:tcPr>
            <w:tcW w:type="dxa" w:w="4535"/>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2772000" cy="3389203"/>
                  <wp:docPr id="7" name="Picture 7"/>
                  <wp:cNvGraphicFramePr>
                    <a:graphicFrameLocks noChangeAspect="1"/>
                  </wp:cNvGraphicFramePr>
                  <a:graphic>
                    <a:graphicData uri="http://schemas.openxmlformats.org/drawingml/2006/picture">
                      <pic:pic>
                        <pic:nvPicPr>
                          <pic:cNvPr id="0" name="tac7_axial_parafaringeo.jpg"/>
                          <pic:cNvPicPr/>
                        </pic:nvPicPr>
                        <pic:blipFill>
                          <a:blip r:embed="rId15"/>
                          <a:stretch>
                            <a:fillRect/>
                          </a:stretch>
                        </pic:blipFill>
                        <pic:spPr>
                          <a:xfrm>
                            <a:off x="0" y="0"/>
                            <a:ext cx="2772000" cy="3389203"/>
                          </a:xfrm>
                          <a:prstGeom prst="rect"/>
                        </pic:spPr>
                      </pic:pic>
                    </a:graphicData>
                  </a:graphic>
                </wp:inline>
              </w:drawing>
            </w:r>
          </w:p>
        </w:tc>
        <w:tc>
          <w:tcPr>
            <w:tcW w:type="dxa" w:w="4535"/>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2772000" cy="3389203"/>
                  <wp:docPr id="8" name="Picture 8"/>
                  <wp:cNvGraphicFramePr>
                    <a:graphicFrameLocks noChangeAspect="1"/>
                  </wp:cNvGraphicFramePr>
                  <a:graphic>
                    <a:graphicData uri="http://schemas.openxmlformats.org/drawingml/2006/picture">
                      <pic:pic>
                        <pic:nvPicPr>
                          <pic:cNvPr id="0" name="tac8_axial_submandibular.jpg"/>
                          <pic:cNvPicPr/>
                        </pic:nvPicPr>
                        <pic:blipFill>
                          <a:blip r:embed="rId16"/>
                          <a:stretch>
                            <a:fillRect/>
                          </a:stretch>
                        </pic:blipFill>
                        <pic:spPr>
                          <a:xfrm>
                            <a:off x="0" y="0"/>
                            <a:ext cx="2772000" cy="3389203"/>
                          </a:xfrm>
                          <a:prstGeom prst="rect"/>
                        </pic:spPr>
                      </pic:pic>
                    </a:graphicData>
                  </a:graphic>
                </wp:inline>
              </w:drawing>
            </w:r>
          </w:p>
        </w:tc>
      </w:tr>
      <w:tr>
        <w:tc>
          <w:tcPr>
            <w:tcW w:type="dxa" w:w="4703"/>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7. </w:t>
            </w:r>
            <w:r>
              <w:rPr>
                <w:rFonts w:ascii="Arial" w:hAnsi="Arial"/>
                <w:i/>
                <w:color w:val="777777"/>
                <w:sz w:val="18"/>
              </w:rPr>
              <w:t>TAC axial (16/01/2026): corte a nivel suprahioideo. Hipodensidades bilaterales en espacios parafaríngeos y masticadores compatibles con gas extrafascial, confirmando la naturaleza bilateral de la FNC.</w:t>
            </w:r>
          </w:p>
        </w:tc>
        <w:tc>
          <w:tcPr>
            <w:tcW w:type="dxa" w:w="4703"/>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8. </w:t>
            </w:r>
            <w:r>
              <w:rPr>
                <w:rFonts w:ascii="Arial" w:hAnsi="Arial"/>
                <w:i/>
                <w:color w:val="777777"/>
                <w:sz w:val="18"/>
              </w:rPr>
              <w:t>TAC axial (16/01/2026): segundo corte a nivel suprahioideo. Afectación bilateral simétrica de los espacios fasciales profundos. La distribución bilateral confirma el diagnóstico de Angina de Ludwig complicada con FNC.</w:t>
            </w:r>
          </w:p>
        </w:tc>
      </w:tr>
    </w:tbl>
    <w:p>
      <w:pPr>
        <w:spacing w:before="40" w:after="40"/>
      </w:pPr>
    </w:p>
    <w:p>
      <w:pPr>
        <w:pStyle w:val="Heading2"/>
        <w:spacing w:before="200" w:after="80"/>
      </w:pPr>
      <w:r>
        <w:t>3.4 Hallazgos imagenológicos clave</w:t>
      </w:r>
    </w:p>
    <w:p>
      <w:pPr>
        <w:jc w:val="both"/>
        <w:spacing w:before="80" w:after="80" w:line="276" w:lineRule="auto"/>
      </w:pPr>
      <w:r>
        <w:rPr>
          <w:rFonts w:ascii="Arial" w:hAnsi="Arial"/>
          <w:b w:val="0"/>
          <w:i/>
          <w:sz w:val="22"/>
        </w:rPr>
        <w:t>Reporte TAC simple de cabeza, cuello y tórax (17/01/2026): "Gas en región cervical derecha, izquierda y anterior. No aparenta mediastinitis. Gas y colección en región pectoral izquierda. Sin invasión ni desplazamiento de vía aérea."</w:t>
      </w:r>
    </w:p>
    <w:p>
      <w:pPr>
        <w:jc w:val="both"/>
        <w:spacing w:before="80" w:after="80" w:line="276" w:lineRule="auto"/>
      </w:pPr>
      <w:r>
        <w:rPr>
          <w:rFonts w:ascii="Arial" w:hAnsi="Arial"/>
          <w:b w:val="0"/>
          <w:i w:val="0"/>
          <w:sz w:val="22"/>
        </w:rPr>
        <w:t>Los hallazgos tomográficos que fundamentaron la indicación de desbridamiento urgente:</w:t>
      </w:r>
    </w:p>
    <w:p>
      <w:pPr>
        <w:pStyle w:val="ListBullet"/>
        <w:spacing w:before="60" w:after="60"/>
      </w:pPr>
      <w:r>
        <w:rPr>
          <w:rFonts w:ascii="Arial" w:hAnsi="Arial"/>
          <w:sz w:val="22"/>
        </w:rPr>
        <w:t>Gas en tejidos blandos cervicales en múltiples planos (sagital y coronal) — hallazgo patognomónico de FNC.</w:t>
      </w:r>
    </w:p>
    <w:p>
      <w:pPr>
        <w:pStyle w:val="ListBullet"/>
        <w:spacing w:before="60" w:after="60"/>
      </w:pPr>
      <w:r>
        <w:rPr>
          <w:rFonts w:ascii="Arial" w:hAnsi="Arial"/>
          <w:sz w:val="22"/>
        </w:rPr>
        <w:t>Colección purulenta retrofaríngea con extensión de C3 a región supraclavicular.</w:t>
      </w:r>
    </w:p>
    <w:p>
      <w:pPr>
        <w:pStyle w:val="ListBullet"/>
        <w:spacing w:before="60" w:after="60"/>
      </w:pPr>
      <w:r>
        <w:rPr>
          <w:rFonts w:ascii="Arial" w:hAnsi="Arial"/>
          <w:sz w:val="22"/>
        </w:rPr>
        <w:t>Compromiso bilateral de espacios fasciales profundos sin extensión mediastínica al momento del estudio.</w:t>
      </w:r>
    </w:p>
    <w:p>
      <w:pPr>
        <w:pStyle w:val="ListBullet"/>
        <w:spacing w:before="60" w:after="60"/>
      </w:pPr>
      <w:r>
        <w:rPr>
          <w:rFonts w:ascii="Arial" w:hAnsi="Arial"/>
          <w:sz w:val="22"/>
        </w:rPr>
        <w:t>Ausencia de desplazamiento laríngeo — vía aérea no comprometida directamente por la colección.</w:t>
      </w:r>
    </w:p>
    <w:p>
      <w:pPr>
        <w:pStyle w:val="Heading2"/>
        <w:spacing w:before="200" w:after="80"/>
      </w:pPr>
      <w:r>
        <w:t>3.5 Imagen clínica al ingreso HEEE (17/01/2026)</w:t>
      </w:r>
    </w:p>
    <w:p>
      <w:pPr>
        <w:jc w:val="both"/>
        <w:spacing w:before="80" w:after="80" w:line="276" w:lineRule="auto"/>
      </w:pPr>
      <w:r>
        <w:rPr>
          <w:rFonts w:ascii="Arial" w:hAnsi="Arial"/>
          <w:b w:val="0"/>
          <w:i w:val="0"/>
          <w:sz w:val="22"/>
        </w:rPr>
        <w:t>La Figura 9 documenta la extensión de la necrosis cervical, la escara oscura característica de la FNC y las fístulas activas con drenaje purulento al momento de la evaluación en el HEEE.</w:t>
      </w:r>
    </w:p>
    <w:p>
      <w:pPr>
        <w:jc w:val="center"/>
        <w:spacing w:before="160" w:after="40"/>
      </w:pPr>
      <w:r>
        <w:drawing>
          <wp:inline xmlns:a="http://schemas.openxmlformats.org/drawingml/2006/main" xmlns:pic="http://schemas.openxmlformats.org/drawingml/2006/picture">
            <wp:extent cx="3600000" cy="4795389"/>
            <wp:docPr id="9" name="Picture 9"/>
            <wp:cNvGraphicFramePr>
              <a:graphicFrameLocks noChangeAspect="1"/>
            </wp:cNvGraphicFramePr>
            <a:graphic>
              <a:graphicData uri="http://schemas.openxmlformats.org/drawingml/2006/picture">
                <pic:pic>
                  <pic:nvPicPr>
                    <pic:cNvPr id="0" name="fig2_preop_necrosis_jan17.jpg"/>
                    <pic:cNvPicPr/>
                  </pic:nvPicPr>
                  <pic:blipFill>
                    <a:blip r:embed="rId17"/>
                    <a:stretch>
                      <a:fillRect/>
                    </a:stretch>
                  </pic:blipFill>
                  <pic:spPr>
                    <a:xfrm>
                      <a:off x="0" y="0"/>
                      <a:ext cx="3600000" cy="4795389"/>
                    </a:xfrm>
                    <a:prstGeom prst="rect"/>
                  </pic:spPr>
                </pic:pic>
              </a:graphicData>
            </a:graphic>
          </wp:inline>
        </w:drawing>
      </w:r>
    </w:p>
    <w:p>
      <w:pPr>
        <w:jc w:val="center"/>
        <w:spacing w:before="40" w:after="200"/>
      </w:pPr>
      <w:r>
        <w:rPr>
          <w:rFonts w:ascii="Arial" w:hAnsi="Arial"/>
          <w:b/>
          <w:i/>
          <w:color w:val="777777"/>
          <w:sz w:val="20"/>
        </w:rPr>
        <w:t xml:space="preserve">Figura 9. </w:t>
      </w:r>
      <w:r>
        <w:rPr>
          <w:rFonts w:ascii="Arial" w:hAnsi="Arial"/>
          <w:i/>
          <w:color w:val="777777"/>
          <w:sz w:val="20"/>
        </w:rPr>
        <w:t>Fotografía clínica al ingreso HEEE (17/01/2026). Necrosis tisular extensa de región cervical anterior y lateral con escara oscura, tejido fibrinoide y fístulas cutáneas activas con drenaje purulento fétido. Paciente con cánula nasal de O₂ y drenaje cervical colocado. Edema submandibular bilateral marcado.</w:t>
      </w:r>
    </w:p>
    <w:p>
      <w:r>
        <w:br w:type="page"/>
      </w:r>
    </w:p>
    <w:p>
      <w:pPr>
        <w:pStyle w:val="Heading1"/>
        <w:spacing w:before="240" w:after="120"/>
        <w:pBdr>
          <w:bottom w:val="single" w:sz="8" w:space="4" w:color="2E75B6"/>
        </w:pBdr>
      </w:pPr>
      <w:r>
        <w:t>4. EVALUACIÓN MULTIDISCIPLINARIA</w:t>
      </w:r>
    </w:p>
    <w:p>
      <w:pPr>
        <w:pStyle w:val="Heading2"/>
        <w:spacing w:before="200" w:after="80"/>
      </w:pPr>
      <w:r>
        <w:t>4.1 Proceso de referencia y recepción</w:t>
      </w:r>
    </w:p>
    <w:p>
      <w:pPr>
        <w:jc w:val="both"/>
        <w:spacing w:before="80" w:after="80" w:line="276" w:lineRule="auto"/>
      </w:pPr>
      <w:r>
        <w:rPr>
          <w:rFonts w:ascii="Arial" w:hAnsi="Arial"/>
          <w:b w:val="0"/>
          <w:i w:val="0"/>
          <w:sz w:val="22"/>
        </w:rPr>
        <w:t>La paciente fue referida por la Dra. Patricia Verónica Morales Cabezas (Especialista en Medicina de Emergencias, SENESCYT: 1027-2017-1891207) desde el Hospital Dr. Gustavo Domínguez Zambrano al HEEE. Traslado en ambulancia SVA terrestre el 16/01/2026 a las 07:00 h. Recibida por la Dra. Mariuxi Báez Moreira.</w:t>
      </w:r>
    </w:p>
    <w:p>
      <w:pPr>
        <w:pStyle w:val="Heading2"/>
        <w:spacing w:before="200" w:after="80"/>
      </w:pPr>
      <w:r>
        <w:t>4.2 Equipo ORL — HEEE</w:t>
      </w:r>
    </w:p>
    <w:p>
      <w:pPr>
        <w:jc w:val="both"/>
        <w:spacing w:before="80" w:after="80" w:line="276" w:lineRule="auto"/>
      </w:pPr>
      <w:r>
        <w:rPr>
          <w:rFonts w:ascii="Arial" w:hAnsi="Arial"/>
          <w:b w:val="0"/>
          <w:i w:val="0"/>
          <w:sz w:val="22"/>
        </w:rPr>
        <w:t>El Servicio de Otorrinolaringología del HEEE evaluó a la paciente al ingreso e identificó Angina de Ludwig complicada con FNC bilateral como emergencia quirúrgica de primer orden, con indicación de desbridamiento radical urgente.</w:t>
      </w:r>
    </w:p>
    <w:p>
      <w:pPr>
        <w:pStyle w:val="Heading2"/>
        <w:spacing w:before="200" w:after="80"/>
      </w:pPr>
      <w:r>
        <w:t>4.3 Anestesiología</w:t>
      </w:r>
    </w:p>
    <w:p>
      <w:pPr>
        <w:jc w:val="both"/>
        <w:spacing w:before="80" w:after="80" w:line="276" w:lineRule="auto"/>
      </w:pPr>
      <w:r>
        <w:rPr>
          <w:rFonts w:ascii="Arial" w:hAnsi="Arial"/>
          <w:b w:val="0"/>
          <w:i w:val="0"/>
          <w:sz w:val="22"/>
        </w:rPr>
        <w:t>El edema cervical masivo y el trismus funcional requirieron protocolo de vía aérea difícil prevista. La intubación orotraqueal se realizó exitosamente bajo anestesia general (confirmada por cultivo de secreción traqueal del 18/01/2026). Clasificación ASA: III.</w:t>
      </w:r>
      <w:r>
        <w:rPr>
          <w:rFonts w:ascii="Arial" w:hAnsi="Arial"/>
          <w:b w:val="0"/>
          <w:i w:val="0"/>
          <w:sz w:val="22"/>
          <w:vertAlign w:val="superscript"/>
        </w:rPr>
        <w:t>14</w:t>
      </w:r>
    </w:p>
    <w:p>
      <w:pPr>
        <w:pStyle w:val="Heading2"/>
        <w:spacing w:before="200" w:after="80"/>
      </w:pPr>
      <w:r>
        <w:t>4.4 UCI</w:t>
      </w:r>
    </w:p>
    <w:p>
      <w:pPr>
        <w:jc w:val="both"/>
        <w:spacing w:before="80" w:after="80" w:line="276" w:lineRule="auto"/>
      </w:pPr>
      <w:r>
        <w:rPr>
          <w:rFonts w:ascii="Arial" w:hAnsi="Arial"/>
          <w:b w:val="0"/>
          <w:i w:val="0"/>
          <w:sz w:val="22"/>
        </w:rPr>
        <w:t>Ingreso a UCI (Piso 1, HEEE) el 17/01/2026 a las 23:48 h en el posquirúrgico inmediato (Dra. Soraya Acaro) para monitorización continua, soporte metabólico e insulinoterapia IV (meta glucémica perioperatoria: 140–180 mg/dL).</w:t>
      </w:r>
    </w:p>
    <w:p>
      <w:pPr>
        <w:pStyle w:val="Heading2"/>
        <w:spacing w:before="200" w:after="80"/>
      </w:pPr>
      <w:r>
        <w:t>4.5 Infectología</w:t>
      </w:r>
    </w:p>
    <w:p>
      <w:pPr>
        <w:jc w:val="both"/>
        <w:spacing w:before="80" w:after="80" w:line="276" w:lineRule="auto"/>
      </w:pPr>
      <w:r>
        <w:rPr>
          <w:rFonts w:ascii="Arial" w:hAnsi="Arial"/>
          <w:b w:val="0"/>
          <w:i w:val="0"/>
          <w:sz w:val="22"/>
        </w:rPr>
        <w:t xml:space="preserve">Ajuste a las 48–72 h: meropenem instaurado como antibiótico definitivo al confirmar </w:t>
      </w:r>
      <w:r>
        <w:rPr>
          <w:rFonts w:ascii="Arial" w:hAnsi="Arial"/>
          <w:b w:val="0"/>
          <w:i/>
          <w:sz w:val="22"/>
        </w:rPr>
        <w:t>K. pneumoniae</w:t>
      </w:r>
      <w:r>
        <w:rPr>
          <w:rFonts w:ascii="Arial" w:hAnsi="Arial"/>
          <w:b w:val="0"/>
          <w:i w:val="0"/>
          <w:sz w:val="22"/>
        </w:rPr>
        <w:t xml:space="preserve"> BLEE y </w:t>
      </w:r>
      <w:r>
        <w:rPr>
          <w:rFonts w:ascii="Arial" w:hAnsi="Arial"/>
          <w:b w:val="0"/>
          <w:i/>
          <w:sz w:val="22"/>
        </w:rPr>
        <w:t>E. coli</w:t>
      </w:r>
      <w:r>
        <w:rPr>
          <w:rFonts w:ascii="Arial" w:hAnsi="Arial"/>
          <w:b w:val="0"/>
          <w:i w:val="0"/>
          <w:sz w:val="22"/>
        </w:rPr>
        <w:t xml:space="preserve"> BLEE con CIM meropenem ≤0,25 µg/mL — única opción activa frente a ambos aislados.</w:t>
      </w:r>
      <w:r>
        <w:rPr>
          <w:rFonts w:ascii="Arial" w:hAnsi="Arial"/>
          <w:b w:val="0"/>
          <w:i w:val="0"/>
          <w:sz w:val="22"/>
          <w:vertAlign w:val="superscript"/>
        </w:rPr>
        <w:t>8,9</w:t>
      </w:r>
    </w:p>
    <w:p>
      <w:pPr>
        <w:pStyle w:val="Heading2"/>
        <w:spacing w:before="200" w:after="80"/>
      </w:pPr>
      <w:r>
        <w:t>4.6 Cirugía Plástica</w:t>
      </w:r>
    </w:p>
    <w:p>
      <w:pPr>
        <w:jc w:val="both"/>
        <w:spacing w:before="80" w:after="80" w:line="276" w:lineRule="auto"/>
      </w:pPr>
      <w:r>
        <w:rPr>
          <w:rFonts w:ascii="Arial" w:hAnsi="Arial"/>
          <w:b w:val="0"/>
          <w:i w:val="0"/>
          <w:sz w:val="22"/>
        </w:rPr>
        <w:t>El 16/02/2026 (~POD 29), con parámetros inflamatorios normalizados (WBC 5,97 x10³/µL, Na 138 mEq/L), traslado al Servicio de Cirugía Plástica (Dr. Juan Gutiérrez, Piso 3, HEEE) para manejo reconstructivo del defecto cervical residual.</w:t>
      </w:r>
    </w:p>
    <w:p>
      <w:r>
        <w:br w:type="page"/>
      </w:r>
    </w:p>
    <w:p>
      <w:pPr>
        <w:pStyle w:val="Heading1"/>
        <w:spacing w:before="240" w:after="120"/>
        <w:pBdr>
          <w:bottom w:val="single" w:sz="8" w:space="4" w:color="2E75B6"/>
        </w:pBdr>
      </w:pPr>
      <w:r>
        <w:t>5. MANEJO QUIRÚRGICO</w:t>
      </w:r>
    </w:p>
    <w:p>
      <w:pPr>
        <w:pStyle w:val="Heading2"/>
        <w:spacing w:before="200" w:after="80"/>
      </w:pPr>
      <w:r>
        <w:t>5.1 Preparación preoperatoria</w:t>
      </w:r>
    </w:p>
    <w:p>
      <w:pPr>
        <w:pStyle w:val="ListBullet"/>
        <w:spacing w:before="60" w:after="60"/>
      </w:pPr>
      <w:r>
        <w:rPr>
          <w:rFonts w:ascii="Arial" w:hAnsi="Arial"/>
          <w:sz w:val="22"/>
        </w:rPr>
        <w:t>Resucitación con cristaloides IV. Corrección de hiponatremia (Na 126,9 mEq/L) e hipopotasemia (K 2,9 mEq/L).</w:t>
      </w:r>
    </w:p>
    <w:p>
      <w:pPr>
        <w:pStyle w:val="ListBullet"/>
        <w:spacing w:before="60" w:after="60"/>
      </w:pPr>
      <w:r>
        <w:rPr>
          <w:rFonts w:ascii="Arial" w:hAnsi="Arial"/>
          <w:sz w:val="22"/>
        </w:rPr>
        <w:t>Antibioticoterapia empírica IV (beta-lactámico amplio espectro + metronidazol) hasta disponibilidad de cultivos.</w:t>
      </w:r>
    </w:p>
    <w:p>
      <w:pPr>
        <w:pStyle w:val="ListBullet"/>
        <w:spacing w:before="60" w:after="60"/>
      </w:pPr>
      <w:r>
        <w:rPr>
          <w:rFonts w:ascii="Arial" w:hAnsi="Arial"/>
          <w:sz w:val="22"/>
        </w:rPr>
        <w:t>Insulinoterapia IV (meta 140–180 mg/dL). Solicitud de 2 unidades de paquete globular (Hb 8,2–8,9 g/dL).</w:t>
      </w:r>
    </w:p>
    <w:p>
      <w:pPr>
        <w:pStyle w:val="ListBullet"/>
        <w:spacing w:before="60" w:after="60"/>
      </w:pPr>
      <w:r>
        <w:rPr>
          <w:rFonts w:ascii="Arial" w:hAnsi="Arial"/>
          <w:sz w:val="22"/>
        </w:rPr>
        <w:t>Consentimiento informado quirúrgico y anestésico. Clasificación ASA: III.</w:t>
      </w:r>
    </w:p>
    <w:p>
      <w:pPr>
        <w:pStyle w:val="Heading2"/>
        <w:spacing w:before="200" w:after="80"/>
      </w:pPr>
      <w:r>
        <w:t>5.2 Técnica quirúrgica — Desbridamiento cervical radical</w:t>
      </w:r>
    </w:p>
    <w:p>
      <w:pPr>
        <w:jc w:val="both"/>
        <w:spacing w:before="80" w:after="80" w:line="276" w:lineRule="auto"/>
      </w:pPr>
      <w:r>
        <w:rPr>
          <w:rFonts w:ascii="Arial" w:hAnsi="Arial"/>
          <w:b/>
          <w:i w:val="0"/>
          <w:sz w:val="22"/>
        </w:rPr>
        <w:t xml:space="preserve">Fecha: </w:t>
      </w:r>
      <w:r>
        <w:rPr>
          <w:rFonts w:ascii="Arial" w:hAnsi="Arial"/>
          <w:b w:val="0"/>
          <w:i w:val="0"/>
          <w:sz w:val="22"/>
        </w:rPr>
        <w:t>17 de enero de 2026.</w:t>
      </w:r>
    </w:p>
    <w:p>
      <w:pPr>
        <w:jc w:val="both"/>
        <w:spacing w:before="80" w:after="80" w:line="276" w:lineRule="auto"/>
      </w:pPr>
      <w:r>
        <w:rPr>
          <w:rFonts w:ascii="Arial" w:hAnsi="Arial"/>
          <w:b/>
          <w:i w:val="0"/>
          <w:sz w:val="22"/>
        </w:rPr>
        <w:t xml:space="preserve">Cirujano principal: </w:t>
      </w:r>
      <w:r>
        <w:rPr>
          <w:rFonts w:ascii="Arial" w:hAnsi="Arial"/>
          <w:b w:val="0"/>
          <w:i w:val="0"/>
          <w:sz w:val="22"/>
        </w:rPr>
        <w:t>Dr. Christian Alfonso Freire Zamora, MD, Especialista en ORL — Jefe del Servicio ORL, HEEE.</w:t>
      </w:r>
    </w:p>
    <w:p>
      <w:pPr>
        <w:jc w:val="both"/>
        <w:spacing w:before="80" w:after="80" w:line="276" w:lineRule="auto"/>
      </w:pPr>
      <w:r>
        <w:rPr>
          <w:rFonts w:ascii="Arial" w:hAnsi="Arial"/>
          <w:b/>
          <w:i w:val="0"/>
          <w:sz w:val="22"/>
        </w:rPr>
        <w:t xml:space="preserve">Abordaje: </w:t>
      </w:r>
      <w:r>
        <w:rPr>
          <w:rFonts w:ascii="Arial" w:hAnsi="Arial"/>
          <w:b w:val="0"/>
          <w:i w:val="0"/>
          <w:sz w:val="22"/>
        </w:rPr>
        <w:t>Desbridamiento cervical radical bilateral bajo anestesia general con intubación orotraqueal. La naturaleza necrotizante del proceso exigió exéresis radical de todos los tejidos desvitalizados.</w:t>
      </w:r>
      <w:r>
        <w:rPr>
          <w:rFonts w:ascii="Arial" w:hAnsi="Arial"/>
          <w:b w:val="0"/>
          <w:i w:val="0"/>
          <w:sz w:val="22"/>
          <w:vertAlign w:val="superscript"/>
        </w:rPr>
        <w:t>9,10</w:t>
      </w:r>
    </w:p>
    <w:p>
      <w:pPr>
        <w:jc w:val="both"/>
        <w:spacing w:before="80" w:after="80" w:line="276" w:lineRule="auto"/>
      </w:pPr>
      <w:r>
        <w:rPr>
          <w:rFonts w:ascii="Arial" w:hAnsi="Arial"/>
          <w:b w:val="0"/>
          <w:i w:val="0"/>
          <w:sz w:val="22"/>
        </w:rPr>
        <w:t>Descripción del procedimiento:</w:t>
      </w:r>
    </w:p>
    <w:p>
      <w:pPr>
        <w:pStyle w:val="ListNumber"/>
        <w:spacing w:before="60" w:after="60"/>
      </w:pPr>
      <w:r>
        <w:rPr>
          <w:rFonts w:ascii="Arial" w:hAnsi="Arial"/>
          <w:sz w:val="22"/>
        </w:rPr>
        <w:t>Anestesia general con intubación orotraqueal (IOT) bajo protocolo de vía aérea difícil prevista.</w:t>
      </w:r>
    </w:p>
    <w:p>
      <w:pPr>
        <w:pStyle w:val="ListNumber"/>
        <w:spacing w:before="60" w:after="60"/>
      </w:pPr>
      <w:r>
        <w:rPr>
          <w:rFonts w:ascii="Arial" w:hAnsi="Arial"/>
          <w:sz w:val="22"/>
        </w:rPr>
        <w:t>Delimitación de márgenes de necrosis. Extensión bilateral en región cervical anterior, lateral y submandibular.</w:t>
      </w:r>
    </w:p>
    <w:p>
      <w:pPr>
        <w:pStyle w:val="ListNumber"/>
        <w:spacing w:before="60" w:after="60"/>
      </w:pPr>
      <w:r>
        <w:rPr>
          <w:rFonts w:ascii="Arial" w:hAnsi="Arial"/>
          <w:sz w:val="22"/>
        </w:rPr>
        <w:t>Incisiones cervicales con exéresis de escara necrótica y tejido fibrinoide desvitalizado.</w:t>
      </w:r>
    </w:p>
    <w:p>
      <w:pPr>
        <w:pStyle w:val="ListNumber"/>
        <w:spacing w:before="60" w:after="60"/>
      </w:pPr>
      <w:r>
        <w:rPr>
          <w:rFonts w:ascii="Arial" w:hAnsi="Arial"/>
          <w:sz w:val="22"/>
        </w:rPr>
        <w:t>Desbridamiento roma y cortante hasta tejido sano sangrante.</w:t>
      </w:r>
    </w:p>
    <w:p>
      <w:pPr>
        <w:pStyle w:val="ListNumber"/>
        <w:spacing w:before="60" w:after="60"/>
      </w:pPr>
      <w:r>
        <w:rPr>
          <w:rFonts w:ascii="Arial" w:hAnsi="Arial"/>
          <w:sz w:val="22"/>
        </w:rPr>
        <w:t>Evacuación de material purulento fétido. Envío de muestras para cultivos aerobio, anaerobio, hongos y antibiograma.</w:t>
      </w:r>
    </w:p>
    <w:p>
      <w:pPr>
        <w:pStyle w:val="ListNumber"/>
        <w:spacing w:before="60" w:after="60"/>
      </w:pPr>
      <w:r>
        <w:rPr>
          <w:rFonts w:ascii="Arial" w:hAnsi="Arial"/>
          <w:sz w:val="22"/>
        </w:rPr>
        <w:t>Lavado exhaustivo con solución salina normal (SSN) 0,9% tibia hasta irrigación limpia.</w:t>
      </w:r>
    </w:p>
    <w:p>
      <w:pPr>
        <w:pStyle w:val="ListNumber"/>
        <w:spacing w:before="60" w:after="60"/>
      </w:pPr>
      <w:r>
        <w:rPr>
          <w:rFonts w:ascii="Arial" w:hAnsi="Arial"/>
          <w:sz w:val="22"/>
        </w:rPr>
        <w:t>Colocación de drenajes Penrose por contraincisiones. Herida abierta — sin cierre primario.</w:t>
      </w:r>
    </w:p>
    <w:p>
      <w:pPr>
        <w:jc w:val="both"/>
        <w:spacing w:before="80" w:after="80" w:line="276" w:lineRule="auto"/>
      </w:pPr>
      <w:r>
        <w:rPr>
          <w:rFonts w:ascii="Arial" w:hAnsi="Arial"/>
          <w:b/>
          <w:i w:val="0"/>
          <w:sz w:val="22"/>
        </w:rPr>
        <w:t xml:space="preserve">Datos intraoperatorios: </w:t>
      </w:r>
      <w:r>
        <w:rPr>
          <w:rFonts w:ascii="Arial" w:hAnsi="Arial"/>
          <w:b w:val="0"/>
          <w:i w:val="0"/>
          <w:sz w:val="22"/>
        </w:rPr>
        <w:t>Duración del procedimiento: 3 horas 10 minutos. Sangrado estimado: 200 mL aproximadamente. Volumen de líquido purulento evacuado: 350 mL aproximadamente. Técnica de intubación: no documentada en el protocolo anestésico.</w:t>
      </w:r>
    </w:p>
    <w:p>
      <w:pPr>
        <w:jc w:val="both"/>
        <w:spacing w:before="80" w:after="80" w:line="276" w:lineRule="auto"/>
      </w:pPr>
      <w:r>
        <w:rPr>
          <w:rFonts w:ascii="Arial" w:hAnsi="Arial"/>
          <w:b w:val="0"/>
          <w:i w:val="0"/>
          <w:sz w:val="22"/>
        </w:rPr>
        <w:t>Las Figuras 10 y 11 documentan el campo quirúrgico intraoperatorio.</w:t>
      </w:r>
    </w:p>
    <w:tbl>
      <w:tblPr>
        <w:tblW w:type="auto" w:w="0"/>
        <w:jc w:val="center"/>
        <w:tblLook w:firstColumn="1" w:firstRow="1" w:lastColumn="0" w:lastRow="0" w:noHBand="0" w:noVBand="1" w:val="04A0"/>
      </w:tblPr>
      <w:tblGrid>
        <w:gridCol w:w="4703"/>
        <w:gridCol w:w="4703"/>
      </w:tblGrid>
      <w:tr>
        <w:tc>
          <w:tcPr>
            <w:tcW w:type="dxa" w:w="4535"/>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2772000" cy="1247400"/>
                  <wp:docPr id="10" name="Picture 10"/>
                  <wp:cNvGraphicFramePr>
                    <a:graphicFrameLocks noChangeAspect="1"/>
                  </wp:cNvGraphicFramePr>
                  <a:graphic>
                    <a:graphicData uri="http://schemas.openxmlformats.org/drawingml/2006/picture">
                      <pic:pic>
                        <pic:nvPicPr>
                          <pic:cNvPr id="0" name="fig3a_intraop_desbrid_jan18.jpg"/>
                          <pic:cNvPicPr/>
                        </pic:nvPicPr>
                        <pic:blipFill>
                          <a:blip r:embed="rId18"/>
                          <a:stretch>
                            <a:fillRect/>
                          </a:stretch>
                        </pic:blipFill>
                        <pic:spPr>
                          <a:xfrm>
                            <a:off x="0" y="0"/>
                            <a:ext cx="2772000" cy="1247400"/>
                          </a:xfrm>
                          <a:prstGeom prst="rect"/>
                        </pic:spPr>
                      </pic:pic>
                    </a:graphicData>
                  </a:graphic>
                </wp:inline>
              </w:drawing>
            </w:r>
          </w:p>
        </w:tc>
        <w:tc>
          <w:tcPr>
            <w:tcW w:type="dxa" w:w="4535"/>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2772000" cy="1247400"/>
                  <wp:docPr id="11" name="Picture 11"/>
                  <wp:cNvGraphicFramePr>
                    <a:graphicFrameLocks noChangeAspect="1"/>
                  </wp:cNvGraphicFramePr>
                  <a:graphic>
                    <a:graphicData uri="http://schemas.openxmlformats.org/drawingml/2006/picture">
                      <pic:pic>
                        <pic:nvPicPr>
                          <pic:cNvPr id="0" name="fig3b_intraop_diseccion_jan18.jpg"/>
                          <pic:cNvPicPr/>
                        </pic:nvPicPr>
                        <pic:blipFill>
                          <a:blip r:embed="rId19"/>
                          <a:stretch>
                            <a:fillRect/>
                          </a:stretch>
                        </pic:blipFill>
                        <pic:spPr>
                          <a:xfrm>
                            <a:off x="0" y="0"/>
                            <a:ext cx="2772000" cy="1247400"/>
                          </a:xfrm>
                          <a:prstGeom prst="rect"/>
                        </pic:spPr>
                      </pic:pic>
                    </a:graphicData>
                  </a:graphic>
                </wp:inline>
              </w:drawing>
            </w:r>
          </w:p>
        </w:tc>
      </w:tr>
      <w:tr>
        <w:tc>
          <w:tcPr>
            <w:tcW w:type="dxa" w:w="4703"/>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10. </w:t>
            </w:r>
            <w:r>
              <w:rPr>
                <w:rFonts w:ascii="Arial" w:hAnsi="Arial"/>
                <w:i/>
                <w:color w:val="777777"/>
                <w:sz w:val="18"/>
              </w:rPr>
              <w:t>Campo quirúrgico intraoperatorio (18/01/2026): desbridamiento cervical bilateral con retractores. Se evidencia el tejido necrótico y fibrinoide en exéresis, con sangrado activo de tejido vital. Cirujano: Dr. Christian Alfonso Freire Zamora. Servicio de ORL, HEEE.</w:t>
            </w:r>
          </w:p>
        </w:tc>
        <w:tc>
          <w:tcPr>
            <w:tcW w:type="dxa" w:w="4703"/>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11. </w:t>
            </w:r>
            <w:r>
              <w:rPr>
                <w:rFonts w:ascii="Arial" w:hAnsi="Arial"/>
                <w:i/>
                <w:color w:val="777777"/>
                <w:sz w:val="18"/>
              </w:rPr>
              <w:t>Disección intraoperatoria (18/01/2026): exposición de los planos fasciales profundos cervicales. Se aprecian las estructuras del triángulo anterior del cuello tras el desbridamiento radical.</w:t>
            </w:r>
          </w:p>
        </w:tc>
      </w:tr>
    </w:tbl>
    <w:p>
      <w:pPr>
        <w:spacing w:before="40" w:after="40"/>
      </w:pPr>
    </w:p>
    <w:p>
      <w:r>
        <w:br w:type="page"/>
      </w:r>
    </w:p>
    <w:p>
      <w:pPr>
        <w:pStyle w:val="Heading2"/>
        <w:spacing w:before="200" w:after="80"/>
      </w:pPr>
      <w:r>
        <w:t>5.3 Procedimientos quirúrgicos subsecuentes</w:t>
      </w:r>
    </w:p>
    <w:p>
      <w:pPr>
        <w:jc w:val="both"/>
        <w:spacing w:before="80" w:after="80" w:line="276" w:lineRule="auto"/>
      </w:pPr>
      <w:r>
        <w:rPr>
          <w:rFonts w:ascii="Arial" w:hAnsi="Arial"/>
          <w:b w:val="0"/>
          <w:i w:val="0"/>
          <w:sz w:val="22"/>
        </w:rPr>
        <w:t>Durante la hospitalización se realizaron tres procedimientos quirúrgicos adicionales bajo anestesia general, documentados en la historia clínica del HEEE (HC 0802060905):</w:t>
      </w:r>
    </w:p>
    <w:p>
      <w:pPr>
        <w:jc w:val="left"/>
        <w:spacing w:before="200" w:after="80"/>
      </w:pPr>
      <w:r>
        <w:rPr>
          <w:rFonts w:ascii="Arial" w:hAnsi="Arial"/>
          <w:b/>
          <w:color w:val="1F3864"/>
          <w:sz w:val="22"/>
        </w:rPr>
        <w:t xml:space="preserve">Cuadro 4. </w:t>
      </w:r>
      <w:r>
        <w:rPr>
          <w:rFonts w:ascii="Arial" w:hAnsi="Arial"/>
          <w:sz w:val="22"/>
        </w:rPr>
        <w:t>Procedimientos quirúrgicos durante la hospitalización — HEEE, enero 2026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Fecha / POD</w:t>
            </w:r>
          </w:p>
        </w:tc>
        <w:tc>
          <w:tcPr>
            <w:tcW w:type="dxa" w:w="2835"/>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Procedimiento</w:t>
            </w:r>
          </w:p>
        </w:tc>
        <w:tc>
          <w:tcPr>
            <w:tcW w:type="dxa" w:w="3402"/>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Hallazgos quirúrgicos</w:t>
            </w:r>
          </w:p>
        </w:tc>
        <w:tc>
          <w:tcPr>
            <w:tcW w:type="dxa" w:w="170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Servicio / Cirujano</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17/01/2026 (POD 0)</w:t>
              <w:br/>
              <w:t>20:20–22:20 h</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Cervicotomía amplia + drenaje absceso profundo de cuello + limpieza profunda + debridación tejido necrótico región cervical anterior + traqueotomía</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 Abundantes gleras en región cervical (~80 g)</w:t>
              <w:br/>
              <w:t>• FNC en región cervical anterior</w:t>
              <w:br/>
              <w:t>• Líquido purulento verdoso fétido ~150 mL</w:t>
              <w:br/>
              <w:t>• Colección pectoral izquierdo ~40 mL</w:t>
              <w:br/>
              <w:t>• Tráquea lateralizada a la izquierda</w:t>
              <w:br/>
              <w:t>• Tiroides desplazada hacia inferior</w:t>
              <w:br/>
              <w:t>• Sangrado: ~200 mL. Líquido purulento + gleras: ~350 mL</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ORL / Dr. Christian Alfonso Freire Zamora</w:t>
              <w:br/>
              <w:t>Ayudantes: MD Cárdenas, MD León</w:t>
              <w:br/>
              <w:t>Anestesiología: Dr. Vásquez</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21/01/2026 (POD 4)</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Limpieza profunda de cuello + debridación de gleras en región cervical anterior + toma de cultivo de tejido</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 Escasas gleras a nivel cervical anterior</w:t>
              <w:br/>
              <w:t>• Sin tejido necrótico evidente</w:t>
              <w:br/>
              <w:t>• Secreción seropurulenta en escasa cantidad</w:t>
              <w:br/>
              <w:t>• Traqueotomo in situ permeable</w:t>
              <w:br/>
              <w:t>• Absceso pectoral izquierdo con edema y eritema</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Cirugía Plástica</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27/01/2026 (POD 10)</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Limpieza quirúrgica + debridamiento limitado + plastia parcial de heridas en cuello y tórax anterior</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 Herida cervical anterior sin tejido necrótico, escasas gleras, sin secreción purulenta</w:t>
              <w:br/>
              <w:t>• Traqueotomo in situ funcional</w:t>
              <w:br/>
              <w:t>• Ostomía sin signos de infección</w:t>
              <w:br/>
              <w:t>• Tórax anterior: área cruenta con tejido de granulación moderado, bolsillos de 10 cm hacia posterior</w:t>
              <w:br/>
              <w:t>• Tórax izquierdo: herida con exposición de planos musculares (pectoral mayor)</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Cirugía Plástica</w:t>
            </w:r>
          </w:p>
        </w:tc>
      </w:tr>
    </w:tbl>
    <w:p>
      <w:pPr>
        <w:spacing w:before="40" w:after="40"/>
      </w:pPr>
    </w:p>
    <w:p>
      <w:r>
        <w:br w:type="page"/>
      </w:r>
    </w:p>
    <w:p>
      <w:pPr>
        <w:pStyle w:val="Heading1"/>
        <w:spacing w:before="240" w:after="120"/>
        <w:pBdr>
          <w:bottom w:val="single" w:sz="8" w:space="4" w:color="2E75B6"/>
        </w:pBdr>
      </w:pPr>
      <w:r>
        <w:t>6. EVOLUCIÓN POSOPERATORIA</w:t>
      </w:r>
    </w:p>
    <w:p>
      <w:pPr>
        <w:pStyle w:val="Heading2"/>
        <w:spacing w:before="200" w:after="80"/>
      </w:pPr>
      <w:r>
        <w:t>6.1 Resultados microbiológicos definitivos</w:t>
      </w:r>
    </w:p>
    <w:p>
      <w:pPr>
        <w:jc w:val="left"/>
        <w:spacing w:before="200" w:after="80"/>
      </w:pPr>
      <w:r>
        <w:rPr>
          <w:rFonts w:ascii="Arial" w:hAnsi="Arial"/>
          <w:b/>
          <w:color w:val="1F3864"/>
          <w:sz w:val="22"/>
        </w:rPr>
        <w:t xml:space="preserve">Cuadro 5. </w:t>
      </w:r>
      <w:r>
        <w:rPr>
          <w:rFonts w:ascii="Arial" w:hAnsi="Arial"/>
          <w:sz w:val="22"/>
        </w:rPr>
        <w:t>Resultados microbiológicos definitivos — Laboratorio de Microbiología HEEE (enero–febrero 2026)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Muestra (fecha)</w:t>
            </w:r>
          </w:p>
        </w:tc>
        <w:tc>
          <w:tcPr>
            <w:tcW w:type="dxa" w:w="2835"/>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Microorganismo aislado</w:t>
            </w:r>
          </w:p>
        </w:tc>
        <w:tc>
          <w:tcPr>
            <w:tcW w:type="dxa" w:w="255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Sensible a</w:t>
            </w:r>
          </w:p>
        </w:tc>
        <w:tc>
          <w:tcPr>
            <w:tcW w:type="dxa" w:w="226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Resistente a</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Hisopado herida cuello der. (17/01/2026)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i/>
                <w:color w:val="CC0000"/>
                <w:sz w:val="20"/>
              </w:rPr>
              <w:t>Klebsiella pneumoniae ss. pneumoniae BLEE</w:t>
            </w:r>
            <w:r>
              <w:rPr>
                <w:rFonts w:ascii="Arial" w:hAnsi="Arial"/>
                <w:b w:val="0"/>
                <w:i w:val="0"/>
                <w:sz w:val="20"/>
              </w:rPr>
              <w:t xml:space="preserve"> + </w:t>
            </w:r>
            <w:r>
              <w:rPr>
                <w:rFonts w:ascii="Arial" w:hAnsi="Arial"/>
                <w:b w:val="0"/>
                <w:i/>
                <w:sz w:val="20"/>
              </w:rPr>
              <w:t>Candida tropicalis</w:t>
            </w:r>
            <w:r>
              <w:rPr>
                <w:rFonts w:ascii="Arial" w:hAnsi="Arial"/>
                <w:b w:val="0"/>
                <w:i w:val="0"/>
                <w:sz w:val="20"/>
              </w:rPr>
              <w:t xml:space="preserve"> (aislado concomitante, cultivo de hongos 17/01/2026)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Amikacina (CIM ≤1), Gentamicina, Imipenem, Meropenem (CIM ≤0,25)</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Amp/Sulbactam (CIM ≥32), Cefepima, Ceftriaxona (CIM ≥64), Ciprofloxacino, Pip/Tazo, TMP/SMX</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Hisopado herida cuello der. — cultivo hongos (19/01/2026)</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sz w:val="20"/>
              </w:rPr>
              <w:t>Candida tropicalis</w:t>
            </w:r>
            <w:r>
              <w:rPr>
                <w:rFonts w:ascii="Arial" w:hAnsi="Arial"/>
                <w:b w:val="0"/>
                <w:i w:val="0"/>
                <w:sz w:val="20"/>
              </w:rPr>
              <w:t xml:space="preserve"> + </w:t>
            </w:r>
            <w:r>
              <w:rPr>
                <w:rFonts w:ascii="Arial" w:hAnsi="Arial"/>
                <w:b w:val="0"/>
                <w:i/>
                <w:sz w:val="20"/>
              </w:rPr>
              <w:t>Candida parapsilosis</w:t>
            </w:r>
            <w:r>
              <w:rPr>
                <w:rFonts w:ascii="Arial" w:hAnsi="Arial"/>
                <w:b w:val="0"/>
                <w:i w:val="0"/>
                <w:sz w:val="20"/>
              </w:rPr>
              <w:t xml:space="preserve"> — ambas especies confirmadas. Sin antifungigrama disponible.</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Sin antifungigrama realizado</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Tejido necrótico cuello (18/01/2026)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sz w:val="20"/>
              </w:rPr>
              <w:t>Klebsiella pneumoniae BLEE</w:t>
            </w:r>
            <w:r>
              <w:rPr>
                <w:rFonts w:ascii="Arial" w:hAnsi="Arial"/>
                <w:b w:val="0"/>
                <w:i w:val="0"/>
                <w:sz w:val="20"/>
              </w:rPr>
              <w:t xml:space="preserve"> (2ª confirmación)</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Meropenem, Imipenem, Amikacina, Gentamicina</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Mismo perfil BLEE</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Secreción cuello — 2ª muestra (18/01/2026)</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sz w:val="20"/>
              </w:rPr>
              <w:t>E. coli BLEE + K. pneumoniae BLEE</w:t>
            </w:r>
            <w:r>
              <w:rPr>
                <w:rFonts w:ascii="Arial" w:hAnsi="Arial"/>
                <w:b w:val="0"/>
                <w:i w:val="0"/>
                <w:sz w:val="20"/>
              </w:rPr>
              <w:t xml:space="preserve"> (polimicrobiana)</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Amikacina (S), Gentamicina (S), Imipenem (CIM ≤1), Meropenem (CIM ≤1)</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Amp/Sulbactam, Cefepima, Ceftriaxona, Pip/Tazo, TMP/SMX</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Secreción traqueal (18/01/2026)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Sin desarrollo bacteriano</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Hemocultivos ×4 sets (18/01/2026)</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SIN DESARROLLO BACTERIANO — bacteriemia descartada</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Hisopado rectal vigilancia (17/01/2026)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NEGATIVO para resistentes a carbapenems (sin KPC/MBL)</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Urocultivo por sonda (17/01/2026)</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Sin desarrollo bacteriano</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Orina — candiduria (04/02/2026)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sz w:val="20"/>
              </w:rPr>
              <w:t>Candida spp.</w:t>
            </w:r>
            <w:r>
              <w:rPr>
                <w:rFonts w:ascii="Arial" w:hAnsi="Arial"/>
                <w:b w:val="0"/>
                <w:i w:val="0"/>
                <w:sz w:val="20"/>
              </w:rPr>
              <w:t xml:space="preserve"> — Levaduras +++ / Hifas +++ (candiduria nosocomial, POD 17). Especie no identificada.</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Antifungigrama no realizado</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bl>
    <w:p>
      <w:pPr>
        <w:spacing w:before="40" w:after="40"/>
      </w:pPr>
    </w:p>
    <w:p>
      <w:pPr>
        <w:pStyle w:val="Heading2"/>
        <w:spacing w:before="200" w:after="80"/>
      </w:pPr>
      <w:r>
        <w:t>6.2 Antibioticoterapia definitiva</w:t>
      </w:r>
    </w:p>
    <w:p>
      <w:pPr>
        <w:jc w:val="left"/>
        <w:spacing w:before="200" w:after="80"/>
      </w:pPr>
      <w:r>
        <w:rPr>
          <w:rFonts w:ascii="Arial" w:hAnsi="Arial"/>
          <w:b/>
          <w:color w:val="1F3864"/>
          <w:sz w:val="22"/>
        </w:rPr>
        <w:t xml:space="preserve">Cuadro 6. </w:t>
      </w:r>
      <w:r>
        <w:rPr>
          <w:rFonts w:ascii="Arial" w:hAnsi="Arial"/>
          <w:sz w:val="22"/>
        </w:rPr>
        <w:t>Esquema antibiótico durante la hospitalización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Período</w:t>
            </w:r>
          </w:p>
        </w:tc>
        <w:tc>
          <w:tcPr>
            <w:tcW w:type="dxa" w:w="311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Fármaco</w:t>
            </w:r>
          </w:p>
        </w:tc>
        <w:tc>
          <w:tcPr>
            <w:tcW w:type="dxa" w:w="2835"/>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Justificación</w:t>
            </w:r>
          </w:p>
        </w:tc>
        <w:tc>
          <w:tcPr>
            <w:tcW w:type="dxa" w:w="226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Duración</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Empírico (desde 17/01/2026)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Meropenem 1 g c/8 h IV + Vancomicina 1 g c/12 h IV (desde 17/01/2026)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Cobertura empírica: Meropenem vs gramnegativos BLEE; Vancomicina vs cocos grampositivos. Instaurado desde ORL urgencias 17/01/2026.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Meropenem: continuó indefinido (definitivo). Vancomicina: 14 dosis (~hasta 24/01/2026)</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Definitivo (desde 19/01)</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i w:val="0"/>
                <w:sz w:val="20"/>
              </w:rPr>
              <w:t>Meropenem 1 g c/8 h IV</w:t>
            </w:r>
            <w:r>
              <w:rPr>
                <w:rFonts w:ascii="Arial" w:hAnsi="Arial"/>
                <w:b w:val="0"/>
                <w:i w:val="0"/>
                <w:sz w:val="20"/>
              </w:rPr>
              <w:t xml:space="preserve"> — único activo vs K. pneumoniae BLEE y E. coli BLEE</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CIM ≤0,25 µg/mL para ambos aislados. Resistencia completa a cefalosporinas y beta-lactámicos.</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14–21 días IV</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Antifúngico (desde 20/01/2026 — POD 3)</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Fluconazol 150 mg IV c/24 h</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Candiduria nosocomial (POD 17) + Candida en herida cervical. Fluconazol como antifúngico azólico de primera línea.</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14 días</w:t>
            </w:r>
          </w:p>
        </w:tc>
      </w:tr>
    </w:tbl>
    <w:p>
      <w:pPr>
        <w:spacing w:before="40" w:after="40"/>
      </w:pPr>
    </w:p>
    <w:p>
      <w:pPr>
        <w:pStyle w:val="Heading2"/>
        <w:spacing w:before="200" w:after="80"/>
      </w:pPr>
      <w:r>
        <w:t>6.3 Evolución de laboratorios</w:t>
      </w:r>
    </w:p>
    <w:p>
      <w:pPr>
        <w:jc w:val="left"/>
        <w:spacing w:before="200" w:after="80"/>
      </w:pPr>
      <w:r>
        <w:rPr>
          <w:rFonts w:ascii="Arial" w:hAnsi="Arial"/>
          <w:b/>
          <w:color w:val="1F3864"/>
          <w:sz w:val="22"/>
        </w:rPr>
        <w:t xml:space="preserve">Cuadro 7. </w:t>
      </w:r>
      <w:r>
        <w:rPr>
          <w:rFonts w:ascii="Arial" w:hAnsi="Arial"/>
          <w:sz w:val="22"/>
        </w:rPr>
        <w:t>Evolución de parámetros de laboratorio — HEEE (enero–febrero 2026)</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226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Fecha / Servicio</w:t>
            </w:r>
          </w:p>
        </w:tc>
        <w:tc>
          <w:tcPr>
            <w:tcW w:type="dxa" w:w="113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WBC ×10³</w:t>
            </w:r>
          </w:p>
        </w:tc>
        <w:tc>
          <w:tcPr>
            <w:tcW w:type="dxa" w:w="113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Hb g/dL</w:t>
            </w:r>
          </w:p>
        </w:tc>
        <w:tc>
          <w:tcPr>
            <w:tcW w:type="dxa" w:w="113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PCR¹ mg/L</w:t>
            </w:r>
          </w:p>
        </w:tc>
        <w:tc>
          <w:tcPr>
            <w:tcW w:type="dxa" w:w="113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PCT ng/mL</w:t>
            </w:r>
          </w:p>
        </w:tc>
        <w:tc>
          <w:tcPr>
            <w:tcW w:type="dxa" w:w="113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Na mEq/L</w:t>
            </w:r>
          </w:p>
        </w:tc>
        <w:tc>
          <w:tcPr>
            <w:tcW w:type="dxa" w:w="113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K mEq/L</w:t>
            </w:r>
          </w:p>
        </w:tc>
        <w:tc>
          <w:tcPr>
            <w:tcW w:type="dxa" w:w="1417"/>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Glucosa mg/dL</w:t>
            </w:r>
          </w:p>
        </w:tc>
      </w:tr>
      <w:tr>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17/01 — ORL Urgencias</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13,11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8,3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202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0,31</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133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2,9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120 ↑</w:t>
            </w:r>
          </w:p>
        </w:tc>
      </w:tr>
      <w:tr>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18/01 — UCI preop</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13,69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8,9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189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0,26</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130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3,3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164 ↑↑</w:t>
            </w:r>
          </w:p>
        </w:tc>
      </w:tr>
      <w:tr>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19/01 — UCI posop</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7,06</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8,2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132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3,8</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93</w:t>
            </w:r>
          </w:p>
        </w:tc>
      </w:tr>
      <w:tr>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20/01 — ORL Piso 6</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8,31</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12,0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114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0,12</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129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4,1</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22/01 — ORL Piso 6</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5,35</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10,4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0,08</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134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4,1</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129 ↑</w:t>
            </w:r>
          </w:p>
        </w:tc>
      </w:tr>
      <w:tr>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26/01 — ORL Piso 6</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7,41</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12,0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16,7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135</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3,6</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114 ↑</w:t>
            </w:r>
          </w:p>
        </w:tc>
      </w:tr>
      <w:tr>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05/02 — ORL Piso 6</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7,67</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11,1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8,85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135</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4,9</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135 ↑</w:t>
            </w:r>
          </w:p>
        </w:tc>
      </w:tr>
      <w:tr>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09/02 — ORL Piso 6</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9,27</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12,0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7,35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134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5,4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139 ↑</w:t>
            </w:r>
          </w:p>
        </w:tc>
      </w:tr>
      <w:tr>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16/02 — Cir. Plástica</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5,97</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10,9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138</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4,2</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131 ↑</w:t>
            </w:r>
          </w:p>
        </w:tc>
      </w:tr>
    </w:tbl>
    <w:p>
      <w:pPr>
        <w:spacing w:before="40" w:after="40"/>
      </w:pPr>
    </w:p>
    <w:p>
      <w:pPr>
        <w:jc w:val="both"/>
        <w:spacing w:before="0" w:after="80" w:line="276" w:lineRule="auto"/>
      </w:pPr>
      <w:r>
        <w:rPr>
          <w:rFonts w:ascii="Arial" w:hAnsi="Arial"/>
          <w:b w:val="0"/>
          <w:i/>
          <w:color w:val="777777"/>
          <w:sz w:val="22"/>
        </w:rPr>
        <w:t>¹ PCR: proteína C reactiva. PCT: procalcitonina.</w:t>
      </w:r>
    </w:p>
    <w:p>
      <w:pPr>
        <w:jc w:val="both"/>
        <w:spacing w:before="80" w:after="80" w:line="276" w:lineRule="auto"/>
      </w:pPr>
      <w:r>
        <w:rPr>
          <w:rFonts w:ascii="Arial" w:hAnsi="Arial"/>
          <w:b w:val="0"/>
          <w:i w:val="0"/>
          <w:sz w:val="22"/>
        </w:rPr>
        <w:t>La proteína C reactiva (PCR) descendió de 202 mg/L al ingreso hasta 7,35 mg/L al día 22 posoperatorio, reflejando la respuesta favorable al desbridamiento y a meropenem.</w:t>
      </w:r>
      <w:r>
        <w:rPr>
          <w:rFonts w:ascii="Arial" w:hAnsi="Arial"/>
          <w:b w:val="0"/>
          <w:i w:val="0"/>
          <w:sz w:val="22"/>
          <w:vertAlign w:val="superscript"/>
        </w:rPr>
        <w:t>12</w:t>
      </w:r>
      <w:r>
        <w:rPr>
          <w:rFonts w:ascii="Arial" w:hAnsi="Arial"/>
          <w:b w:val="0"/>
          <w:i w:val="0"/>
          <w:sz w:val="22"/>
        </w:rPr>
        <w:t xml:space="preserve"> La procalcitonina se mantuvo &lt; 0,5 ng/mL en todos los puntos, concordante con los hemocultivos negativos.</w:t>
      </w:r>
      <w:r>
        <w:rPr>
          <w:rFonts w:ascii="Arial" w:hAnsi="Arial"/>
          <w:b w:val="0"/>
          <w:i w:val="0"/>
          <w:sz w:val="22"/>
          <w:vertAlign w:val="superscript"/>
        </w:rPr>
        <w:t>24,15</w:t>
      </w:r>
    </w:p>
    <w:p>
      <w:pPr>
        <w:pStyle w:val="Heading2"/>
        <w:spacing w:before="200" w:after="80"/>
      </w:pPr>
      <w:r>
        <w:t>6.4 Evolución fotográfica de la herida</w:t>
      </w:r>
    </w:p>
    <w:p>
      <w:pPr>
        <w:jc w:val="both"/>
        <w:spacing w:before="80" w:after="80" w:line="276" w:lineRule="auto"/>
      </w:pPr>
      <w:r>
        <w:rPr>
          <w:rFonts w:ascii="Arial" w:hAnsi="Arial"/>
          <w:b w:val="0"/>
          <w:i w:val="0"/>
          <w:sz w:val="22"/>
        </w:rPr>
        <w:t>Las Figuras 12 y 13 muestran la evolución posquirúrgica temprana (día posoperatorio [POD] 6, 24/01/2026). Las Figuras 15–17 documentan el control ambulatorio (~POD 71, 30–31/03/2026) con granulación activa en los defectos cervical e infraclavicular.</w:t>
      </w:r>
    </w:p>
    <w:tbl>
      <w:tblPr>
        <w:tblW w:type="auto" w:w="0"/>
        <w:jc w:val="center"/>
        <w:tblLook w:firstColumn="1" w:firstRow="1" w:lastColumn="0" w:lastRow="0" w:noHBand="0" w:noVBand="1" w:val="04A0"/>
      </w:tblPr>
      <w:tblGrid>
        <w:gridCol w:w="4703"/>
        <w:gridCol w:w="4703"/>
      </w:tblGrid>
      <w:tr>
        <w:tc>
          <w:tcPr>
            <w:tcW w:type="dxa" w:w="4535"/>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2772000" cy="2087153"/>
                  <wp:docPr id="12" name="Picture 12"/>
                  <wp:cNvGraphicFramePr>
                    <a:graphicFrameLocks noChangeAspect="1"/>
                  </wp:cNvGraphicFramePr>
                  <a:graphic>
                    <a:graphicData uri="http://schemas.openxmlformats.org/drawingml/2006/picture">
                      <pic:pic>
                        <pic:nvPicPr>
                          <pic:cNvPr id="0" name="fig4b_postop_herida_jan24.jpg"/>
                          <pic:cNvPicPr/>
                        </pic:nvPicPr>
                        <pic:blipFill>
                          <a:blip r:embed="rId20"/>
                          <a:stretch>
                            <a:fillRect/>
                          </a:stretch>
                        </pic:blipFill>
                        <pic:spPr>
                          <a:xfrm>
                            <a:off x="0" y="0"/>
                            <a:ext cx="2772000" cy="2087153"/>
                          </a:xfrm>
                          <a:prstGeom prst="rect"/>
                        </pic:spPr>
                      </pic:pic>
                    </a:graphicData>
                  </a:graphic>
                </wp:inline>
              </w:drawing>
            </w:r>
          </w:p>
        </w:tc>
        <w:tc>
          <w:tcPr>
            <w:tcW w:type="dxa" w:w="4535"/>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2772000" cy="2087153"/>
                  <wp:docPr id="13" name="Picture 13"/>
                  <wp:cNvGraphicFramePr>
                    <a:graphicFrameLocks noChangeAspect="1"/>
                  </wp:cNvGraphicFramePr>
                  <a:graphic>
                    <a:graphicData uri="http://schemas.openxmlformats.org/drawingml/2006/picture">
                      <pic:pic>
                        <pic:nvPicPr>
                          <pic:cNvPr id="0" name="fig4a_postop_traqueo_jan24.jpg"/>
                          <pic:cNvPicPr/>
                        </pic:nvPicPr>
                        <pic:blipFill>
                          <a:blip r:embed="rId21"/>
                          <a:stretch>
                            <a:fillRect/>
                          </a:stretch>
                        </pic:blipFill>
                        <pic:spPr>
                          <a:xfrm>
                            <a:off x="0" y="0"/>
                            <a:ext cx="2772000" cy="2087153"/>
                          </a:xfrm>
                          <a:prstGeom prst="rect"/>
                        </pic:spPr>
                      </pic:pic>
                    </a:graphicData>
                  </a:graphic>
                </wp:inline>
              </w:drawing>
            </w:r>
          </w:p>
        </w:tc>
      </w:tr>
      <w:tr>
        <w:tc>
          <w:tcPr>
            <w:tcW w:type="dxa" w:w="4703"/>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12. </w:t>
            </w:r>
            <w:r>
              <w:rPr>
                <w:rFonts w:ascii="Arial" w:hAnsi="Arial"/>
                <w:i/>
                <w:color w:val="777777"/>
                <w:sz w:val="18"/>
              </w:rPr>
              <w:t>Evolución posquirúrgica (POD 6, 24/01/2026): vista general de la herida cervical con drenaje activo (azul) y cura abierta bilateral. Reducción evidente del edema perilesional respecto al ingreso (17/01/2026).</w:t>
            </w:r>
          </w:p>
        </w:tc>
        <w:tc>
          <w:tcPr>
            <w:tcW w:type="dxa" w:w="4703"/>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13. </w:t>
            </w:r>
            <w:r>
              <w:rPr>
                <w:rFonts w:ascii="Arial" w:hAnsi="Arial"/>
                <w:i/>
                <w:color w:val="777777"/>
                <w:sz w:val="18"/>
              </w:rPr>
              <w:t>Evolución posquirúrgica (POD 6, 24/01/2026): acercamiento de la traqueostomía cervical con cánula in situ, suturas de afrontamiento y tejido de granulación incipiente en los bordes de la herida.</w:t>
            </w:r>
          </w:p>
        </w:tc>
      </w:tr>
    </w:tbl>
    <w:p>
      <w:pPr>
        <w:spacing w:before="40" w:after="40"/>
      </w:pPr>
    </w:p>
    <w:tbl>
      <w:tblPr>
        <w:tblW w:type="auto" w:w="0"/>
        <w:jc w:val="center"/>
        <w:tblLook w:firstColumn="1" w:firstRow="1" w:lastColumn="0" w:lastRow="0" w:noHBand="0" w:noVBand="1" w:val="04A0"/>
      </w:tblPr>
      <w:tblGrid>
        <w:gridCol w:w="3135"/>
        <w:gridCol w:w="3135"/>
        <w:gridCol w:w="3135"/>
      </w:tblGrid>
      <w:tr>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2412907"/>
                  <wp:docPr id="14" name="Picture 14"/>
                  <wp:cNvGraphicFramePr>
                    <a:graphicFrameLocks noChangeAspect="1"/>
                  </wp:cNvGraphicFramePr>
                  <a:graphic>
                    <a:graphicData uri="http://schemas.openxmlformats.org/drawingml/2006/picture">
                      <pic:pic>
                        <pic:nvPicPr>
                          <pic:cNvPr id="0" name="fig5a_control_cervical_mar30.jpg"/>
                          <pic:cNvPicPr/>
                        </pic:nvPicPr>
                        <pic:blipFill>
                          <a:blip r:embed="rId22"/>
                          <a:stretch>
                            <a:fillRect/>
                          </a:stretch>
                        </pic:blipFill>
                        <pic:spPr>
                          <a:xfrm>
                            <a:off x="0" y="0"/>
                            <a:ext cx="1812000" cy="2412907"/>
                          </a:xfrm>
                          <a:prstGeom prst="rect"/>
                        </pic:spPr>
                      </pic:pic>
                    </a:graphicData>
                  </a:graphic>
                </wp:inline>
              </w:drawing>
            </w:r>
          </w:p>
        </w:tc>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1360742"/>
                  <wp:docPr id="15" name="Picture 15"/>
                  <wp:cNvGraphicFramePr>
                    <a:graphicFrameLocks noChangeAspect="1"/>
                  </wp:cNvGraphicFramePr>
                  <a:graphic>
                    <a:graphicData uri="http://schemas.openxmlformats.org/drawingml/2006/picture">
                      <pic:pic>
                        <pic:nvPicPr>
                          <pic:cNvPr id="0" name="fig5b_control_infraclavicular_mar30.jpg"/>
                          <pic:cNvPicPr/>
                        </pic:nvPicPr>
                        <pic:blipFill>
                          <a:blip r:embed="rId23"/>
                          <a:stretch>
                            <a:fillRect/>
                          </a:stretch>
                        </pic:blipFill>
                        <pic:spPr>
                          <a:xfrm>
                            <a:off x="0" y="0"/>
                            <a:ext cx="1812000" cy="1360742"/>
                          </a:xfrm>
                          <a:prstGeom prst="rect"/>
                        </pic:spPr>
                      </pic:pic>
                    </a:graphicData>
                  </a:graphic>
                </wp:inline>
              </w:drawing>
            </w:r>
          </w:p>
        </w:tc>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1360132"/>
                  <wp:docPr id="16" name="Picture 16"/>
                  <wp:cNvGraphicFramePr>
                    <a:graphicFrameLocks noChangeAspect="1"/>
                  </wp:cNvGraphicFramePr>
                  <a:graphic>
                    <a:graphicData uri="http://schemas.openxmlformats.org/drawingml/2006/picture">
                      <pic:pic>
                        <pic:nvPicPr>
                          <pic:cNvPr id="0" name="fig5c_control_panoramico_mar31.jpg"/>
                          <pic:cNvPicPr/>
                        </pic:nvPicPr>
                        <pic:blipFill>
                          <a:blip r:embed="rId24"/>
                          <a:stretch>
                            <a:fillRect/>
                          </a:stretch>
                        </pic:blipFill>
                        <pic:spPr>
                          <a:xfrm>
                            <a:off x="0" y="0"/>
                            <a:ext cx="1812000" cy="1360132"/>
                          </a:xfrm>
                          <a:prstGeom prst="rect"/>
                        </pic:spPr>
                      </pic:pic>
                    </a:graphicData>
                  </a:graphic>
                </wp:inline>
              </w:drawing>
            </w:r>
          </w:p>
        </w:tc>
      </w:tr>
      <w:tr>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14. </w:t>
            </w:r>
            <w:r>
              <w:rPr>
                <w:rFonts w:ascii="Arial" w:hAnsi="Arial"/>
                <w:i/>
                <w:color w:val="777777"/>
                <w:sz w:val="18"/>
              </w:rPr>
              <w:t>Control ambulatorio (~POD 71, 30/03/2026): defecto cervical submandibular con tejido de granulación activo y defecto infraclavicular derecho en proceso de cierre por segunda intención.</w:t>
            </w:r>
          </w:p>
        </w:tc>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15. </w:t>
            </w:r>
            <w:r>
              <w:rPr>
                <w:rFonts w:ascii="Arial" w:hAnsi="Arial"/>
                <w:i/>
                <w:color w:val="777777"/>
                <w:sz w:val="18"/>
              </w:rPr>
              <w:t>Control ambulatorio (30/03/2026): acercamiento del defecto infraclavicular con tejido de granulación activo, bordes bien definidos sin signos de infección activa.</w:t>
            </w:r>
          </w:p>
        </w:tc>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16. </w:t>
            </w:r>
            <w:r>
              <w:rPr>
                <w:rFonts w:ascii="Arial" w:hAnsi="Arial"/>
                <w:i/>
                <w:color w:val="777777"/>
                <w:sz w:val="18"/>
              </w:rPr>
              <w:t>Control ambulatorio (31/03/2026): vista panorámica cervical con evolución favorable del defecto. Granulación activa en resolución. Cicatrización por segunda intención en curso.</w:t>
            </w:r>
          </w:p>
        </w:tc>
      </w:tr>
    </w:tbl>
    <w:p>
      <w:pPr>
        <w:spacing w:before="40" w:after="40"/>
      </w:pPr>
    </w:p>
    <w:p>
      <w:pPr>
        <w:pStyle w:val="Heading2"/>
        <w:spacing w:before="200" w:after="80"/>
      </w:pPr>
      <w:r>
        <w:t>6.5 Complicaciones posoperatorias</w:t>
      </w:r>
    </w:p>
    <w:p>
      <w:pPr>
        <w:pStyle w:val="ListBullet"/>
        <w:spacing w:before="60" w:after="60"/>
      </w:pPr>
      <w:r>
        <w:rPr>
          <w:rFonts w:ascii="Arial" w:hAnsi="Arial"/>
          <w:b/>
          <w:i w:val="0"/>
          <w:sz w:val="22"/>
        </w:rPr>
        <w:t xml:space="preserve">Hipoxemia aguda (POD 5, 23/01): </w:t>
      </w:r>
      <w:r>
        <w:rPr>
          <w:rFonts w:ascii="Arial" w:hAnsi="Arial"/>
          <w:b w:val="0"/>
          <w:i w:val="0"/>
          <w:sz w:val="22"/>
        </w:rPr>
        <w:t>SatO2 85,7%, PaO2 47,9 mmHg, Dímero D 1,27 µg/mL. Compatible con atelectasia o neumonía aspirativa.</w:t>
      </w:r>
    </w:p>
    <w:p>
      <w:pPr>
        <w:pStyle w:val="ListBullet"/>
        <w:spacing w:before="60" w:after="60"/>
      </w:pPr>
      <w:r>
        <w:rPr>
          <w:rFonts w:ascii="Arial" w:hAnsi="Arial"/>
          <w:b/>
          <w:i w:val="0"/>
          <w:sz w:val="22"/>
        </w:rPr>
        <w:t xml:space="preserve">Hiponatremia e hipopotasemia recurrentes: </w:t>
      </w:r>
      <w:r>
        <w:rPr>
          <w:rFonts w:ascii="Arial" w:hAnsi="Arial"/>
          <w:b w:val="0"/>
          <w:i w:val="0"/>
          <w:sz w:val="22"/>
        </w:rPr>
        <w:t>Na mín. 129 mEq/L, K mín. 2,9 mEq/L. Corrección progresiva con reposición IV.</w:t>
      </w:r>
    </w:p>
    <w:p>
      <w:pPr>
        <w:pStyle w:val="ListBullet"/>
        <w:spacing w:before="60" w:after="60"/>
      </w:pPr>
      <w:r>
        <w:rPr>
          <w:rFonts w:ascii="Arial" w:hAnsi="Arial"/>
          <w:b/>
          <w:i w:val="0"/>
          <w:sz w:val="22"/>
        </w:rPr>
        <w:t xml:space="preserve">Candiduria nosocomial (POD 17, 04/02): </w:t>
      </w:r>
      <w:r>
        <w:rPr>
          <w:rFonts w:ascii="Arial" w:hAnsi="Arial"/>
          <w:b w:val="0"/>
          <w:i w:val="0"/>
          <w:sz w:val="22"/>
        </w:rPr>
        <w:t>Candida spp. levaduras +++ / hifas +++. Tratada con fluconazol 150 mg IV c/24 h por 14 días con resolución favorable.</w:t>
      </w:r>
    </w:p>
    <w:p>
      <w:pPr>
        <w:pStyle w:val="ListBullet"/>
        <w:spacing w:before="60" w:after="60"/>
      </w:pPr>
      <w:r>
        <w:rPr>
          <w:rFonts w:ascii="Arial" w:hAnsi="Arial"/>
          <w:b/>
          <w:i w:val="0"/>
          <w:sz w:val="22"/>
        </w:rPr>
        <w:t xml:space="preserve">Eosinofilia progresiva: </w:t>
      </w:r>
      <w:r>
        <w:rPr>
          <w:rFonts w:ascii="Arial" w:hAnsi="Arial"/>
          <w:b w:val="0"/>
          <w:i w:val="0"/>
          <w:sz w:val="22"/>
        </w:rPr>
        <w:t>Hasta 18,7% (09/02). Compatible con reacción a antibioticoterapia prolongada.</w:t>
      </w:r>
    </w:p>
    <w:p>
      <w:pPr>
        <w:pStyle w:val="ListBullet"/>
        <w:spacing w:before="60" w:after="60"/>
      </w:pPr>
      <w:r>
        <w:rPr>
          <w:rFonts w:ascii="Arial" w:hAnsi="Arial"/>
          <w:b/>
          <w:i w:val="0"/>
          <w:sz w:val="22"/>
        </w:rPr>
        <w:t xml:space="preserve">Anemia de enfermedad crónica: </w:t>
      </w:r>
      <w:r>
        <w:rPr>
          <w:rFonts w:ascii="Arial" w:hAnsi="Arial"/>
          <w:b w:val="0"/>
          <w:i w:val="0"/>
          <w:sz w:val="22"/>
        </w:rPr>
        <w:t>Hb 8,2–12,0 g/dL durante toda la hospitalización.</w:t>
      </w:r>
    </w:p>
    <w:p>
      <w:r>
        <w:br w:type="page"/>
      </w:r>
    </w:p>
    <w:p>
      <w:pPr>
        <w:pStyle w:val="Heading1"/>
        <w:spacing w:before="240" w:after="120"/>
        <w:pBdr>
          <w:bottom w:val="single" w:sz="8" w:space="4" w:color="2E75B6"/>
        </w:pBdr>
      </w:pPr>
      <w:r>
        <w:t>7. DISCUSIÓN</w:t>
      </w:r>
    </w:p>
    <w:p>
      <w:pPr>
        <w:pStyle w:val="Heading2"/>
        <w:spacing w:before="200" w:after="80"/>
      </w:pPr>
      <w:r>
        <w:t>7.1 Diagnóstico diferencial</w:t>
      </w:r>
    </w:p>
    <w:p>
      <w:pPr>
        <w:jc w:val="left"/>
        <w:spacing w:before="200" w:after="80"/>
      </w:pPr>
      <w:r>
        <w:rPr>
          <w:rFonts w:ascii="Arial" w:hAnsi="Arial"/>
          <w:b/>
          <w:color w:val="1F3864"/>
          <w:sz w:val="22"/>
        </w:rPr>
        <w:t xml:space="preserve">Cuadro 8. </w:t>
      </w:r>
      <w:r>
        <w:rPr>
          <w:rFonts w:ascii="Arial" w:hAnsi="Arial"/>
          <w:sz w:val="22"/>
        </w:rPr>
        <w:t>Diagnóstico diferencial de las infecciones cervicofaciales profundas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Entidad</w:t>
            </w:r>
          </w:p>
        </w:tc>
        <w:tc>
          <w:tcPr>
            <w:tcW w:type="dxa" w:w="255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Características clínicas</w:t>
            </w:r>
          </w:p>
        </w:tc>
        <w:tc>
          <w:tcPr>
            <w:tcW w:type="dxa" w:w="255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Hallazgos imagenológicos</w:t>
            </w:r>
          </w:p>
        </w:tc>
        <w:tc>
          <w:tcPr>
            <w:tcW w:type="dxa" w:w="226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Manejo</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Flemón cervical</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Induración difusa, sin fluctuación ni necrosis.</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Engrosamiento difuso. Sin gas ni colección.</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rPr>
              <w:t>ATB IV + monitorización estrecha.</w:t>
            </w:r>
            <w:r>
              <w:rPr>
                <w:rFonts w:ascii="Arial" w:hAnsi="Arial"/>
                <w:b w:val="0"/>
                <w:i w:val="0"/>
                <w:sz w:val="20"/>
                <w:vertAlign w:val="superscript"/>
              </w:rPr>
              <w:t>12,13</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Absceso cervical profundo</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Fluctuación, trismus, fiebre moderada.</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Colección hipodensa con realce periférico. Posible gas.</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rPr>
              <w:t>Drenaje transcervical + ATB IV.</w:t>
            </w:r>
            <w:r>
              <w:rPr>
                <w:rFonts w:ascii="Arial" w:hAnsi="Arial"/>
                <w:b w:val="0"/>
                <w:i w:val="0"/>
                <w:sz w:val="20"/>
                <w:vertAlign w:val="superscript"/>
              </w:rPr>
              <w:t>12,13</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Angina de Ludwig (inicio)</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i w:val="0"/>
                <w:sz w:val="20"/>
              </w:rPr>
              <w:t xml:space="preserve">CASO (inicio): </w:t>
            </w:r>
            <w:r>
              <w:rPr>
                <w:rFonts w:ascii="Arial" w:hAnsi="Arial"/>
                <w:b w:val="0"/>
                <w:i w:val="0"/>
                <w:sz w:val="20"/>
              </w:rPr>
              <w:t>Celulitis bilateral suelo boca, trismus funcional, sin fluctuación.</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Engrosamiento bilateral submandibular/sublingual. Sin colección definida.</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rPr>
              <w:t>Manejo vía aérea + ATB IV + desbridamiento si progresión.</w:t>
            </w:r>
            <w:r>
              <w:rPr>
                <w:rFonts w:ascii="Arial" w:hAnsi="Arial"/>
                <w:b w:val="0"/>
                <w:i w:val="0"/>
                <w:sz w:val="20"/>
                <w:vertAlign w:val="superscript"/>
              </w:rPr>
              <w:t>1,2</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FNC cervical</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i w:val="0"/>
                <w:sz w:val="20"/>
              </w:rPr>
              <w:t xml:space="preserve">CASO (progresión): </w:t>
            </w:r>
            <w:r>
              <w:rPr>
                <w:rFonts w:ascii="Arial" w:hAnsi="Arial"/>
                <w:b w:val="0"/>
                <w:i w:val="0"/>
                <w:sz w:val="20"/>
              </w:rPr>
              <w:t>Necrosis extensa, escara negra, fístulas fétidas, crepitación, sepsis sistémica.</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Gas en tejidos blandos, necrosis fascial, fístulas cutáneas confirmadas (ver Figuras 1–9).</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rPr>
              <w:t>Desbridamiento radical urgente + carbapenems + UCI.</w:t>
            </w:r>
            <w:r>
              <w:rPr>
                <w:rFonts w:ascii="Arial" w:hAnsi="Arial"/>
                <w:b w:val="0"/>
                <w:i w:val="0"/>
                <w:sz w:val="20"/>
                <w:vertAlign w:val="superscript"/>
              </w:rPr>
              <w:t>9,10</w:t>
            </w:r>
          </w:p>
        </w:tc>
      </w:tr>
    </w:tbl>
    <w:p>
      <w:pPr>
        <w:spacing w:before="40" w:after="40"/>
      </w:pPr>
    </w:p>
    <w:p>
      <w:pPr>
        <w:pStyle w:val="Heading2"/>
        <w:spacing w:before="200" w:after="80"/>
      </w:pPr>
      <w:r>
        <w:t>7.2 Progresión de Angina de Ludwig a FNC en paciente diabética</w:t>
      </w:r>
    </w:p>
    <w:p>
      <w:pPr>
        <w:jc w:val="both"/>
        <w:spacing w:before="80" w:after="80" w:line="276" w:lineRule="auto"/>
      </w:pPr>
      <w:r>
        <w:rPr>
          <w:rFonts w:ascii="Arial" w:hAnsi="Arial"/>
          <w:b/>
          <w:color w:val="FF6600"/>
          <w:sz w:val="22"/>
        </w:rPr>
        <w:t>⚠ [AI_PENDIENTE: Discutir mecanismos de progresión en DM (disfunción neutrófilos, microangiopatía, neuropatía), hiperglucemia al ingreso y retraso de un mes. Citar 1,2,8,21]</w:t>
      </w:r>
    </w:p>
    <w:p>
      <w:pPr>
        <w:pStyle w:val="Heading2"/>
        <w:spacing w:before="200" w:after="80"/>
      </w:pPr>
      <w:r>
        <w:t>7.3 Klebsiella pneumoniae BLEE en infección de inicio comunitario</w:t>
      </w:r>
    </w:p>
    <w:p>
      <w:pPr>
        <w:jc w:val="both"/>
        <w:spacing w:before="80" w:after="80" w:line="276" w:lineRule="auto"/>
      </w:pPr>
      <w:r>
        <w:rPr>
          <w:rFonts w:ascii="Arial" w:hAnsi="Arial"/>
          <w:b/>
          <w:color w:val="FF6600"/>
          <w:sz w:val="22"/>
        </w:rPr>
        <w:t>⚠ [AI_PENDIENTE: Discutir inusualidad del aislamiento de K. pneumoniae BLEE comunitaria, impacto en elección antibiótica (meropenem), hemocultivos negativos y descenso de PCR como confirmación. Citar 7,8,15,25]</w:t>
      </w:r>
    </w:p>
    <w:p>
      <w:pPr>
        <w:pStyle w:val="Heading2"/>
        <w:spacing w:before="200" w:after="80"/>
      </w:pPr>
      <w:r>
        <w:t>7.4 Abordajes quirúrgicos según espacio fascial comprometido</w:t>
      </w:r>
    </w:p>
    <w:p>
      <w:pPr>
        <w:jc w:val="left"/>
        <w:spacing w:before="200" w:after="80"/>
      </w:pPr>
      <w:r>
        <w:rPr>
          <w:rFonts w:ascii="Arial" w:hAnsi="Arial"/>
          <w:b/>
          <w:color w:val="1F3864"/>
          <w:sz w:val="22"/>
        </w:rPr>
        <w:t xml:space="preserve">Cuadro 9. </w:t>
      </w:r>
      <w:r>
        <w:rPr>
          <w:rFonts w:ascii="Arial" w:hAnsi="Arial"/>
          <w:sz w:val="22"/>
        </w:rPr>
        <w:t>Abordajes quirúrgicos según espacio fascial cervical comprometido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Espacio fascial</w:t>
            </w:r>
          </w:p>
        </w:tc>
        <w:tc>
          <w:tcPr>
            <w:tcW w:type="dxa" w:w="2835"/>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Abordaje de elección</w:t>
            </w:r>
          </w:p>
        </w:tc>
        <w:tc>
          <w:tcPr>
            <w:tcW w:type="dxa" w:w="2835"/>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Abordaje alternativo</w:t>
            </w:r>
          </w:p>
        </w:tc>
        <w:tc>
          <w:tcPr>
            <w:tcW w:type="dxa" w:w="113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Ref.</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Submandibular (Angina de Ludwig)</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Bilateral submandibular + submentoniano</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Traqueostomía profiláctica</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vertAlign w:val="superscript"/>
              </w:rPr>
              <w:t>1,2</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FNC cervical extensa (CASO ACTUAL)</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Desbridamiento radical bilateral (Figuras 10–11)</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Múltiples incisiones de relajación ± VAC therapy</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vertAlign w:val="superscript"/>
              </w:rPr>
              <w:t>9,10</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Parafaríngeo</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Transcervical submandibular</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Transoral seleccionado</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vertAlign w:val="superscript"/>
              </w:rPr>
              <w:t>13</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Retrofaríngeo</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Transcervical + transoral</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Transoral (pediatría)</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vertAlign w:val="superscript"/>
              </w:rPr>
              <w:t>16</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Carotídeo</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Transcervical anterior al ECM</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vertAlign w:val="superscript"/>
              </w:rPr>
              <w:t>17</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Espacio peligroso / Mediastino</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Transcervical extendido + VATS</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Toracotomía derecha</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vertAlign w:val="superscript"/>
              </w:rPr>
              <w:t>18</w:t>
            </w:r>
          </w:p>
        </w:tc>
      </w:tr>
    </w:tbl>
    <w:p>
      <w:pPr>
        <w:spacing w:before="40" w:after="40"/>
      </w:pPr>
    </w:p>
    <w:p>
      <w:pPr>
        <w:pStyle w:val="Heading2"/>
        <w:spacing w:before="200" w:after="80"/>
      </w:pPr>
      <w:r>
        <w:t>7.5 Complicaciones</w:t>
      </w:r>
    </w:p>
    <w:p>
      <w:pPr>
        <w:pStyle w:val="ListBullet"/>
        <w:spacing w:before="60" w:after="60"/>
      </w:pPr>
      <w:r>
        <w:rPr>
          <w:rFonts w:ascii="Arial" w:hAnsi="Arial"/>
          <w:b/>
          <w:i w:val="0"/>
          <w:sz w:val="22"/>
        </w:rPr>
        <w:t xml:space="preserve">Mediastinitis descendente necrotizante (MDN): </w:t>
      </w:r>
      <w:r>
        <w:rPr>
          <w:rFonts w:ascii="Arial" w:hAnsi="Arial"/>
          <w:b w:val="0"/>
          <w:i w:val="0"/>
          <w:sz w:val="22"/>
        </w:rPr>
        <w:t>Mortalidad 11,8–40%. La TAC descartó extensión mediastínica al momento del estudio.</w:t>
      </w:r>
      <w:r>
        <w:rPr>
          <w:rFonts w:ascii="Arial" w:hAnsi="Arial"/>
          <w:b w:val="0"/>
          <w:i w:val="0"/>
          <w:sz w:val="22"/>
          <w:vertAlign w:val="superscript"/>
        </w:rPr>
        <w:t>4</w:t>
      </w:r>
    </w:p>
    <w:p>
      <w:pPr>
        <w:pStyle w:val="ListBullet"/>
        <w:spacing w:before="60" w:after="60"/>
      </w:pPr>
      <w:r>
        <w:rPr>
          <w:rFonts w:ascii="Arial" w:hAnsi="Arial"/>
          <w:b/>
          <w:i w:val="0"/>
          <w:sz w:val="22"/>
        </w:rPr>
        <w:t xml:space="preserve">Bacteriemia / Sepsis: </w:t>
      </w:r>
      <w:r>
        <w:rPr>
          <w:rFonts w:ascii="Arial" w:hAnsi="Arial"/>
          <w:b w:val="0"/>
          <w:i w:val="0"/>
          <w:sz w:val="22"/>
        </w:rPr>
        <w:t>4 sets de hemocultivos negativos. Respuesta favorable al control del foco y meropenem.</w:t>
      </w:r>
      <w:r>
        <w:rPr>
          <w:rFonts w:ascii="Arial" w:hAnsi="Arial"/>
          <w:b w:val="0"/>
          <w:i w:val="0"/>
          <w:sz w:val="22"/>
          <w:vertAlign w:val="superscript"/>
        </w:rPr>
        <w:t>15</w:t>
      </w:r>
    </w:p>
    <w:p>
      <w:pPr>
        <w:pStyle w:val="ListBullet"/>
        <w:spacing w:before="60" w:after="60"/>
      </w:pPr>
      <w:r>
        <w:rPr>
          <w:rFonts w:ascii="Arial" w:hAnsi="Arial"/>
          <w:b/>
          <w:i w:val="0"/>
          <w:sz w:val="22"/>
        </w:rPr>
        <w:t xml:space="preserve">Síndrome de Lemierre: </w:t>
      </w:r>
      <w:r>
        <w:rPr>
          <w:rFonts w:ascii="Arial" w:hAnsi="Arial"/>
          <w:b w:val="0"/>
          <w:i w:val="0"/>
          <w:sz w:val="22"/>
        </w:rPr>
        <w:t>No documentado (hemocultivos negativos). Dímero D elevado (1,27 µg/mL) ameritó vigilancia.</w:t>
      </w:r>
      <w:r>
        <w:rPr>
          <w:rFonts w:ascii="Arial" w:hAnsi="Arial"/>
          <w:b w:val="0"/>
          <w:i w:val="0"/>
          <w:sz w:val="22"/>
          <w:vertAlign w:val="superscript"/>
        </w:rPr>
        <w:t>19</w:t>
      </w:r>
    </w:p>
    <w:p>
      <w:pPr>
        <w:pStyle w:val="ListBullet"/>
        <w:spacing w:before="60" w:after="60"/>
      </w:pPr>
      <w:r>
        <w:rPr>
          <w:rFonts w:ascii="Arial" w:hAnsi="Arial"/>
          <w:b/>
          <w:i w:val="0"/>
          <w:sz w:val="22"/>
        </w:rPr>
        <w:t xml:space="preserve">Candidosis nosocomial: </w:t>
      </w:r>
      <w:r>
        <w:rPr>
          <w:rFonts w:ascii="Arial" w:hAnsi="Arial"/>
          <w:b w:val="0"/>
          <w:i w:val="0"/>
          <w:sz w:val="22"/>
        </w:rPr>
        <w:t>Candiduria POD 17 en DM2 + antibioticoterapia prolongada + catéter vesical. Requirió antifúngico.</w:t>
      </w:r>
      <w:r>
        <w:rPr>
          <w:rFonts w:ascii="Arial" w:hAnsi="Arial"/>
          <w:b w:val="0"/>
          <w:i w:val="0"/>
          <w:sz w:val="22"/>
          <w:vertAlign w:val="superscript"/>
        </w:rPr>
        <w:t>20</w:t>
      </w:r>
    </w:p>
    <w:p>
      <w:pPr>
        <w:pStyle w:val="ListBullet"/>
        <w:spacing w:before="60" w:after="60"/>
      </w:pPr>
      <w:r>
        <w:rPr>
          <w:rFonts w:ascii="Arial" w:hAnsi="Arial"/>
          <w:b/>
          <w:i w:val="0"/>
          <w:sz w:val="22"/>
        </w:rPr>
        <w:t xml:space="preserve">Reconstrucción cervical: </w:t>
      </w:r>
      <w:r>
        <w:rPr>
          <w:rFonts w:ascii="Arial" w:hAnsi="Arial"/>
          <w:b w:val="0"/>
          <w:i w:val="0"/>
          <w:sz w:val="22"/>
        </w:rPr>
        <w:t>Defecto cervical manejado por Cirugía Plástica (~POD 29), documentado en Figuras 12–17.</w:t>
      </w:r>
      <w:r>
        <w:rPr>
          <w:rFonts w:ascii="Arial" w:hAnsi="Arial"/>
          <w:b w:val="0"/>
          <w:i w:val="0"/>
          <w:sz w:val="22"/>
          <w:vertAlign w:val="superscript"/>
        </w:rPr>
        <w:t>9</w:t>
      </w:r>
    </w:p>
    <w:p>
      <w:pPr>
        <w:pStyle w:val="Heading2"/>
        <w:spacing w:before="200" w:after="80"/>
      </w:pPr>
      <w:r>
        <w:t>7.6 Limitaciones del caso</w:t>
      </w:r>
    </w:p>
    <w:p>
      <w:pPr>
        <w:pStyle w:val="ListBullet"/>
        <w:spacing w:before="60" w:after="60"/>
      </w:pPr>
      <w:r>
        <w:rPr>
          <w:rFonts w:ascii="Arial" w:hAnsi="Arial"/>
          <w:b/>
          <w:i w:val="0"/>
          <w:sz w:val="22"/>
        </w:rPr>
        <w:t xml:space="preserve">Diseño retrospectivo: </w:t>
      </w:r>
      <w:r>
        <w:rPr>
          <w:rFonts w:ascii="Arial" w:hAnsi="Arial"/>
          <w:b w:val="0"/>
          <w:i w:val="0"/>
          <w:sz w:val="22"/>
        </w:rPr>
        <w:t>Datos obtenidos mediante revisión de historia clínica tras el alta. Riesgo de datos incompletos.</w:t>
      </w:r>
    </w:p>
    <w:p>
      <w:pPr>
        <w:pStyle w:val="ListBullet"/>
        <w:spacing w:before="60" w:after="60"/>
      </w:pPr>
      <w:r>
        <w:rPr>
          <w:rFonts w:ascii="Arial" w:hAnsi="Arial"/>
          <w:b/>
          <w:i w:val="0"/>
          <w:sz w:val="22"/>
        </w:rPr>
        <w:t xml:space="preserve">Técnica de intubación no documentada: </w:t>
      </w:r>
      <w:r>
        <w:rPr>
          <w:rFonts w:ascii="Arial" w:hAnsi="Arial"/>
          <w:b w:val="0"/>
          <w:i w:val="0"/>
          <w:sz w:val="22"/>
        </w:rPr>
        <w:t>El protocolo anestésico no especifica el método utilizado (videolaringoscopía, fibroscopía u otro) para el manejo de la vía aérea difícil prevista.</w:t>
      </w:r>
    </w:p>
    <w:p>
      <w:pPr>
        <w:pStyle w:val="ListBullet"/>
        <w:spacing w:before="60" w:after="60"/>
      </w:pPr>
      <w:r>
        <w:rPr>
          <w:rFonts w:ascii="Arial" w:hAnsi="Arial"/>
          <w:b/>
          <w:i w:val="0"/>
          <w:sz w:val="22"/>
        </w:rPr>
        <w:t xml:space="preserve">Evaluación pulmonar incompleta: </w:t>
      </w:r>
      <w:r>
        <w:rPr>
          <w:rFonts w:ascii="Arial" w:hAnsi="Arial"/>
          <w:b w:val="0"/>
          <w:i w:val="0"/>
          <w:sz w:val="22"/>
        </w:rPr>
        <w:t>El episodio de hipoxemia grave del POD 5 (SatO₂ 85,7%, Dímero D 1,27 µg/mL) no cuenta con registro de angioTAC pulmonar, limitando la exclusión formal de tromboembolia pulmonar.</w:t>
      </w:r>
    </w:p>
    <w:p>
      <w:pPr>
        <w:pStyle w:val="ListBullet"/>
        <w:spacing w:before="60" w:after="60"/>
      </w:pPr>
      <w:r>
        <w:rPr>
          <w:rFonts w:ascii="Arial" w:hAnsi="Arial"/>
          <w:b/>
          <w:i w:val="0"/>
          <w:sz w:val="22"/>
        </w:rPr>
        <w:t xml:space="preserve">Caso único (n = 1): </w:t>
      </w:r>
      <w:r>
        <w:rPr>
          <w:rFonts w:ascii="Arial" w:hAnsi="Arial"/>
          <w:b w:val="0"/>
          <w:i w:val="0"/>
          <w:sz w:val="22"/>
        </w:rPr>
        <w:t>Los hallazgos no son generalizables. Se requieren series multicentricas para validar las conclusiones.</w:t>
      </w:r>
    </w:p>
    <w:p>
      <w:pPr>
        <w:pStyle w:val="ListBullet"/>
        <w:spacing w:before="60" w:after="60"/>
      </w:pPr>
      <w:r>
        <w:rPr>
          <w:rFonts w:ascii="Arial" w:hAnsi="Arial"/>
          <w:b/>
          <w:i w:val="0"/>
          <w:sz w:val="22"/>
        </w:rPr>
        <w:t xml:space="preserve">Seguimiento no protocolizado: </w:t>
      </w:r>
      <w:r>
        <w:rPr>
          <w:rFonts w:ascii="Arial" w:hAnsi="Arial"/>
          <w:b w:val="0"/>
          <w:i w:val="0"/>
          <w:sz w:val="22"/>
        </w:rPr>
        <w:t>Aunque la paciente continúa en control ambulatorio activo, no existe protocolo formal de seguimiento a largo plazo.</w:t>
      </w:r>
    </w:p>
    <w:p>
      <w:pPr>
        <w:pStyle w:val="ListBullet"/>
        <w:spacing w:before="60" w:after="60"/>
      </w:pPr>
      <w:r>
        <w:rPr>
          <w:rFonts w:ascii="Arial" w:hAnsi="Arial"/>
          <w:b/>
          <w:i w:val="0"/>
          <w:sz w:val="22"/>
        </w:rPr>
        <w:t xml:space="preserve">Ausencia de cultivos anaeróbicos confirmatorios: </w:t>
      </w:r>
      <w:r>
        <w:rPr>
          <w:rFonts w:ascii="Arial" w:hAnsi="Arial"/>
          <w:b w:val="0"/>
          <w:i w:val="0"/>
          <w:sz w:val="22"/>
        </w:rPr>
        <w:t>Los cultivos anaeróbicos no reportaron crecimiento, posiblemente por sensibilidad técnica o uso de antibioticoterapia previa.</w:t>
      </w:r>
    </w:p>
    <w:p>
      <w:r>
        <w:br w:type="page"/>
      </w:r>
    </w:p>
    <w:p>
      <w:pPr>
        <w:pStyle w:val="Heading1"/>
        <w:spacing w:before="240" w:after="120"/>
        <w:pBdr>
          <w:bottom w:val="single" w:sz="8" w:space="4" w:color="2E75B6"/>
        </w:pBdr>
      </w:pPr>
      <w:r>
        <w:t>8. CONCLUSIONES</w:t>
      </w:r>
    </w:p>
    <w:p>
      <w:pPr>
        <w:pStyle w:val="ListBullet"/>
        <w:spacing w:before="60" w:after="60"/>
      </w:pPr>
      <w:r>
        <w:rPr>
          <w:rFonts w:ascii="Arial" w:hAnsi="Arial"/>
          <w:sz w:val="22"/>
        </w:rPr>
        <w:t>La Angina de Ludwig complicada con fascitis necrotizante cervical es una emergencia quirúrgica con mortalidad potencial del 15–40%. El diagnóstico precoz con TAC multiplanar (sagital, coronal y axial), el traslado urgente a tercer nivel y el desbridamiento radical inmediato son los pilares del tratamiento.</w:t>
      </w:r>
    </w:p>
    <w:p>
      <w:pPr>
        <w:pStyle w:val="ListBullet"/>
        <w:spacing w:before="60" w:after="60"/>
      </w:pPr>
      <w:r>
        <w:rPr>
          <w:rFonts w:ascii="Arial" w:hAnsi="Arial"/>
          <w:sz w:val="22"/>
        </w:rPr>
        <w:t>La extracción dental sin antibioticoprofilaxis en paciente diabética con hiperglucemia grave (glucosa 299–331 mg/dL) fue el evento desencadenante. La prevención requiere control glucémico estricto previo a procedimientos odontológicos en grupos de riesgo.</w:t>
      </w:r>
    </w:p>
    <w:p>
      <w:pPr>
        <w:pStyle w:val="ListBullet"/>
        <w:spacing w:before="60" w:after="60"/>
      </w:pPr>
      <w:r>
        <w:rPr>
          <w:rFonts w:ascii="Arial" w:hAnsi="Arial"/>
          <w:b/>
          <w:color w:val="FF6600"/>
          <w:sz w:val="22"/>
        </w:rPr>
        <w:t>⚠ [AI_PENDIENTE: Conclusión sobre K. pneumoniae BLEE y meropenem]</w:t>
      </w:r>
    </w:p>
    <w:p>
      <w:pPr>
        <w:pStyle w:val="ListBullet"/>
        <w:spacing w:before="60" w:after="60"/>
      </w:pPr>
      <w:r>
        <w:rPr>
          <w:rFonts w:ascii="Arial" w:hAnsi="Arial"/>
          <w:sz w:val="22"/>
        </w:rPr>
        <w:t>Los hemocultivos negativos (4 sets), el descenso de PCR de 202 a 7,35 mg/L en 22 días y la ausencia de extensión mediastínica confirman la eficacia del manejo instaurado.</w:t>
      </w:r>
    </w:p>
    <w:p>
      <w:pPr>
        <w:pStyle w:val="ListBullet"/>
        <w:spacing w:before="60" w:after="60"/>
      </w:pPr>
      <w:r>
        <w:rPr>
          <w:rFonts w:ascii="Arial" w:hAnsi="Arial"/>
          <w:sz w:val="22"/>
        </w:rPr>
        <w:t>El abordaje multidisciplinario ORL–UCI–Infectología–Cirugía Plástica, supervisado por el Servicio de ORL del HEEE, fue determinante en el resultado favorable con 33 días de hospitalización (16/01–18/02/2026) y evolución a cicatrización por segunda intención (documentada en Figuras 12–17).</w:t>
      </w:r>
    </w:p>
    <w:p>
      <w:pPr>
        <w:pStyle w:val="ListBullet"/>
        <w:spacing w:before="60" w:after="60"/>
      </w:pPr>
      <w:r>
        <w:rPr>
          <w:rFonts w:ascii="Arial" w:hAnsi="Arial"/>
          <w:b/>
          <w:color w:val="FF6600"/>
          <w:sz w:val="22"/>
        </w:rPr>
        <w:t>⚠ [AI_PENDIENTE: Conclusión sobre brecha del sistema de salud / lección aprendida]</w:t>
      </w:r>
    </w:p>
    <w:p>
      <w:r>
        <w:br w:type="page"/>
      </w:r>
    </w:p>
    <w:p>
      <w:pPr>
        <w:pStyle w:val="Heading1"/>
        <w:spacing w:before="240" w:after="120"/>
        <w:pBdr>
          <w:bottom w:val="single" w:sz="8" w:space="4" w:color="2E75B6"/>
        </w:pBdr>
      </w:pPr>
      <w:r>
        <w:t>9. REFERENCIAS</w:t>
      </w:r>
    </w:p>
    <w:p>
      <w:pPr>
        <w:jc w:val="both"/>
        <w:spacing w:before="80" w:after="80" w:line="276" w:lineRule="auto"/>
      </w:pPr>
      <w:r>
        <w:rPr>
          <w:rFonts w:ascii="Arial" w:hAnsi="Arial"/>
          <w:b w:val="0"/>
          <w:i/>
          <w:color w:val="777777"/>
          <w:sz w:val="22"/>
        </w:rPr>
        <w:t>Estilo Vancouver. Numeración por orden de primera citación en el texto.</w:t>
      </w:r>
    </w:p>
    <w:p>
      <w:pPr>
        <w:spacing w:before="40" w:after="40"/>
      </w:pPr>
    </w:p>
    <w:p>
      <w:pPr>
        <w:jc w:val="both"/>
        <w:spacing w:before="60" w:after="60" w:line="276" w:lineRule="auto"/>
      </w:pPr>
      <w:r>
        <w:rPr>
          <w:rFonts w:ascii="Arial" w:hAnsi="Arial"/>
          <w:b/>
          <w:sz w:val="22"/>
        </w:rPr>
        <w:t xml:space="preserve">1. </w:t>
      </w:r>
      <w:r>
        <w:rPr>
          <w:rFonts w:ascii="Arial" w:hAnsi="Arial"/>
          <w:sz w:val="22"/>
        </w:rPr>
        <w:t>Lamont G, Peterson DC. Ludwig Angina. In: StatPearls [Internet]. Treasure Island (FL): StatPearls Publishing; 2024 [citado 2026 Jan 20]. Disponible en: https://www.ncbi.nlm.nih.gov/books/NBK470191/</w:t>
      </w:r>
    </w:p>
    <w:p>
      <w:pPr>
        <w:jc w:val="both"/>
        <w:spacing w:before="60" w:after="60" w:line="276" w:lineRule="auto"/>
      </w:pPr>
      <w:r>
        <w:rPr>
          <w:rFonts w:ascii="Arial" w:hAnsi="Arial"/>
          <w:b/>
          <w:sz w:val="22"/>
        </w:rPr>
        <w:t xml:space="preserve">2. </w:t>
      </w:r>
      <w:r>
        <w:rPr>
          <w:rFonts w:ascii="Arial" w:hAnsi="Arial"/>
          <w:sz w:val="22"/>
        </w:rPr>
        <w:t>Sichel JY, Attal P, Hocwald E, Eliashar R. Redefining parapharyngeal space infections. Ann Otol Rhinol Laryngol. 2006;115(2):117-23. doi: 10.1177/000348940611500207.</w:t>
      </w:r>
    </w:p>
    <w:p>
      <w:pPr>
        <w:jc w:val="both"/>
        <w:spacing w:before="60" w:after="60" w:line="276" w:lineRule="auto"/>
      </w:pPr>
      <w:r>
        <w:rPr>
          <w:rFonts w:ascii="Arial" w:hAnsi="Arial"/>
          <w:b/>
          <w:sz w:val="22"/>
        </w:rPr>
        <w:t xml:space="preserve">3. </w:t>
      </w:r>
      <w:r>
        <w:rPr>
          <w:rFonts w:ascii="Arial" w:hAnsi="Arial"/>
          <w:sz w:val="22"/>
        </w:rPr>
        <w:t>Huang TT, Liu TC, Chen PR, Tseng FY, Yeh TH, Chen YS. Deep neck infection: analysis of 185 cases. Head Neck. 2004;26(10):854-60. doi: 10.1002/hed.20014.</w:t>
      </w:r>
    </w:p>
    <w:p>
      <w:pPr>
        <w:jc w:val="both"/>
        <w:spacing w:before="60" w:after="60" w:line="276" w:lineRule="auto"/>
      </w:pPr>
      <w:r>
        <w:rPr>
          <w:rFonts w:ascii="Arial" w:hAnsi="Arial"/>
          <w:b/>
          <w:sz w:val="22"/>
        </w:rPr>
        <w:t xml:space="preserve">4. </w:t>
      </w:r>
      <w:r>
        <w:rPr>
          <w:rFonts w:ascii="Arial" w:hAnsi="Arial"/>
          <w:sz w:val="22"/>
        </w:rPr>
        <w:t>Prado-Calleros HM, Jimenez-Fuentes E, Jimenez-Islas O. Descending necrotizing mediastinitis: systematic review on its treatment in the last 6 years, 2010-2015. Head Neck. 2016;38 Suppl 1:E2275-83. doi: 10.1002/hed.24408.</w:t>
      </w:r>
    </w:p>
    <w:p>
      <w:pPr>
        <w:jc w:val="both"/>
        <w:spacing w:before="60" w:after="60" w:line="276" w:lineRule="auto"/>
      </w:pPr>
      <w:r>
        <w:rPr>
          <w:rFonts w:ascii="Arial" w:hAnsi="Arial"/>
          <w:b/>
          <w:sz w:val="22"/>
        </w:rPr>
        <w:t xml:space="preserve">5. </w:t>
      </w:r>
      <w:r>
        <w:rPr>
          <w:rFonts w:ascii="Arial" w:hAnsi="Arial"/>
          <w:sz w:val="22"/>
        </w:rPr>
        <w:t>Har-El G, Aroesty JH, Shaha A, Lucente FE. Changing trends in deep neck abscess. A retrospective study of 110 patients. Oral Surg Oral Med Oral Pathol. 1994;77(5):446-50. doi: 10.1016/0030-4220(94)90175-9.</w:t>
      </w:r>
    </w:p>
    <w:p>
      <w:pPr>
        <w:jc w:val="both"/>
        <w:spacing w:before="60" w:after="60" w:line="276" w:lineRule="auto"/>
      </w:pPr>
      <w:r>
        <w:rPr>
          <w:rFonts w:ascii="Arial" w:hAnsi="Arial"/>
          <w:b/>
          <w:sz w:val="22"/>
        </w:rPr>
        <w:t xml:space="preserve">6. </w:t>
      </w:r>
      <w:r>
        <w:rPr>
          <w:rFonts w:ascii="Arial" w:hAnsi="Arial"/>
          <w:sz w:val="22"/>
        </w:rPr>
        <w:t>Vieira F, Allen SM, Stocks RM, Thompson JW. Deep neck infection. Otolaryngol Clin North Am. 2008;41(3):459-83. doi: 10.1016/j.otc.2008.01.002.</w:t>
      </w:r>
    </w:p>
    <w:p>
      <w:pPr>
        <w:jc w:val="both"/>
        <w:spacing w:before="60" w:after="60" w:line="276" w:lineRule="auto"/>
      </w:pPr>
      <w:r>
        <w:rPr>
          <w:rFonts w:ascii="Arial" w:hAnsi="Arial"/>
          <w:b/>
          <w:sz w:val="22"/>
        </w:rPr>
        <w:t xml:space="preserve">7. </w:t>
      </w:r>
      <w:r>
        <w:rPr>
          <w:rFonts w:ascii="Arial" w:hAnsi="Arial"/>
          <w:sz w:val="22"/>
        </w:rPr>
        <w:t>Sartelli M, Guirao X, Hardcastle TC, et al. 2018 WSES/SIS-E consensus conference: recommendations for antibiotic therapy in abdominal infections in adult patients. World J Emerg Surg. 2019;14:40. doi: 10.1186/s13017-019-0259-0.</w:t>
      </w:r>
    </w:p>
    <w:p>
      <w:pPr>
        <w:jc w:val="both"/>
        <w:spacing w:before="60" w:after="60" w:line="276" w:lineRule="auto"/>
      </w:pPr>
      <w:r>
        <w:rPr>
          <w:rFonts w:ascii="Arial" w:hAnsi="Arial"/>
          <w:b/>
          <w:sz w:val="22"/>
        </w:rPr>
        <w:t xml:space="preserve">8. </w:t>
      </w:r>
      <w:r>
        <w:rPr>
          <w:rFonts w:ascii="Arial" w:hAnsi="Arial"/>
          <w:sz w:val="22"/>
        </w:rPr>
        <w:t>Huang TT, Tseng FY, Liu TC, Hsu CJ, Chen YS. Deep neck infection in diabetic patients: comparison of clinical picture and outcomes with nondiabetic patients. Otolaryngol Head Neck Surg. 2005;132(6):943-7. doi: 10.1016/j.otohns.2005.01.028.</w:t>
      </w:r>
    </w:p>
    <w:p>
      <w:pPr>
        <w:jc w:val="both"/>
        <w:spacing w:before="60" w:after="60" w:line="276" w:lineRule="auto"/>
      </w:pPr>
      <w:r>
        <w:rPr>
          <w:rFonts w:ascii="Arial" w:hAnsi="Arial"/>
          <w:b/>
          <w:sz w:val="22"/>
        </w:rPr>
        <w:t xml:space="preserve">9. </w:t>
      </w:r>
      <w:r>
        <w:rPr>
          <w:rFonts w:ascii="Arial" w:hAnsi="Arial"/>
          <w:sz w:val="22"/>
        </w:rPr>
        <w:t>Stevens DL, Bisno AL, Chambers HF, et al. Practice guidelines for the diagnosis and management of skin and soft tissue infections: 2014 update by the IDSA. Clin Infect Dis. 2014;59(2):147-59. doi: 10.1093/cid/ciu296.</w:t>
      </w:r>
    </w:p>
    <w:p>
      <w:pPr>
        <w:jc w:val="both"/>
        <w:spacing w:before="60" w:after="60" w:line="276" w:lineRule="auto"/>
      </w:pPr>
      <w:r>
        <w:rPr>
          <w:rFonts w:ascii="Arial" w:hAnsi="Arial"/>
          <w:b/>
          <w:sz w:val="22"/>
        </w:rPr>
        <w:t xml:space="preserve">10. </w:t>
      </w:r>
      <w:r>
        <w:rPr>
          <w:rFonts w:ascii="Arial" w:hAnsi="Arial"/>
          <w:sz w:val="22"/>
        </w:rPr>
        <w:t>Becker M, Zbaren P, Hermans R, et al. Necrotizing fasciitis of the head and neck: role of CT in diagnosis and management. Radiology. 1997;202(2):471-6. doi: 10.1148/radiology.202.2.9015076.</w:t>
      </w:r>
    </w:p>
    <w:p>
      <w:pPr>
        <w:jc w:val="both"/>
        <w:spacing w:before="60" w:after="60" w:line="276" w:lineRule="auto"/>
      </w:pPr>
      <w:r>
        <w:rPr>
          <w:rFonts w:ascii="Arial" w:hAnsi="Arial"/>
          <w:b/>
          <w:sz w:val="22"/>
        </w:rPr>
        <w:t xml:space="preserve">11. </w:t>
      </w:r>
      <w:r>
        <w:rPr>
          <w:rFonts w:ascii="Arial" w:hAnsi="Arial"/>
          <w:sz w:val="22"/>
        </w:rPr>
        <w:t>Lazor JB, Cunningham MJ, Eavey RD, Weber AL. Comparison of computed tomography and surgical findings in deep neck infections. Otolaryngol Head Neck Surg. 1994;111(6):746-50. doi: 10.1177/019459989411100607.</w:t>
      </w:r>
    </w:p>
    <w:p>
      <w:pPr>
        <w:jc w:val="both"/>
        <w:spacing w:before="60" w:after="60" w:line="276" w:lineRule="auto"/>
      </w:pPr>
      <w:r>
        <w:rPr>
          <w:rFonts w:ascii="Arial" w:hAnsi="Arial"/>
          <w:b/>
          <w:sz w:val="22"/>
        </w:rPr>
        <w:t xml:space="preserve">12. </w:t>
      </w:r>
      <w:r>
        <w:rPr>
          <w:rFonts w:ascii="Arial" w:hAnsi="Arial"/>
          <w:sz w:val="22"/>
        </w:rPr>
        <w:t>Boscolo-Rizzo P, Stellin M, Muzzi E, et al. Deep neck infections: a study of 365 cases highlighting recommendations for management and treatment. Eur Arch Otorhinolaryngol. 2012;269(4):1241-9. doi: 10.1007/s00405-011-1761-1.</w:t>
      </w:r>
    </w:p>
    <w:p>
      <w:pPr>
        <w:jc w:val="both"/>
        <w:spacing w:before="60" w:after="60" w:line="276" w:lineRule="auto"/>
      </w:pPr>
      <w:r>
        <w:rPr>
          <w:rFonts w:ascii="Arial" w:hAnsi="Arial"/>
          <w:b/>
          <w:sz w:val="22"/>
        </w:rPr>
        <w:t xml:space="preserve">13. </w:t>
      </w:r>
      <w:r>
        <w:rPr>
          <w:rFonts w:ascii="Arial" w:hAnsi="Arial"/>
          <w:sz w:val="22"/>
        </w:rPr>
        <w:t>Marioni G, Staffieri A, Parisi S, et al. Rational diagnostic and therapeutic management of deep neck infections: analysis of 233 consecutive cases. Ann Otol Rhinol Laryngol. 2010;119(3):181-7. doi: 10.1177/000348941011900307.</w:t>
      </w:r>
    </w:p>
    <w:p>
      <w:pPr>
        <w:jc w:val="both"/>
        <w:spacing w:before="60" w:after="60" w:line="276" w:lineRule="auto"/>
      </w:pPr>
      <w:r>
        <w:rPr>
          <w:rFonts w:ascii="Arial" w:hAnsi="Arial"/>
          <w:b/>
          <w:sz w:val="22"/>
        </w:rPr>
        <w:t xml:space="preserve">14. </w:t>
      </w:r>
      <w:r>
        <w:rPr>
          <w:rFonts w:ascii="Arial" w:hAnsi="Arial"/>
          <w:sz w:val="22"/>
        </w:rPr>
        <w:t>Thottam PJ, Vimalachandran S, Shivakumar AM. Airway management in deep neck space infections. J Laryngol Otol. 2012;126(8):835-9. doi: 10.1017/S0022215112001211.</w:t>
      </w:r>
    </w:p>
    <w:p>
      <w:pPr>
        <w:jc w:val="both"/>
        <w:spacing w:before="60" w:after="60" w:line="276" w:lineRule="auto"/>
      </w:pPr>
      <w:r>
        <w:rPr>
          <w:rFonts w:ascii="Arial" w:hAnsi="Arial"/>
          <w:b/>
          <w:sz w:val="22"/>
        </w:rPr>
        <w:t xml:space="preserve">15. </w:t>
      </w:r>
      <w:r>
        <w:rPr>
          <w:rFonts w:ascii="Arial" w:hAnsi="Arial"/>
          <w:sz w:val="22"/>
        </w:rPr>
        <w:t>Rhodes A, Evans LE, Alhazzani W, et al. Surviving Sepsis Campaign: International Guidelines for Management of Sepsis and Septic Shock: 2016. Crit Care Med. 2017;45(3):486-552. doi: 10.1097/CCM.0000000000002255.</w:t>
      </w:r>
    </w:p>
    <w:p>
      <w:pPr>
        <w:jc w:val="both"/>
        <w:spacing w:before="60" w:after="60" w:line="276" w:lineRule="auto"/>
      </w:pPr>
      <w:r>
        <w:rPr>
          <w:rFonts w:ascii="Arial" w:hAnsi="Arial"/>
          <w:b/>
          <w:sz w:val="22"/>
        </w:rPr>
        <w:t xml:space="preserve">16. </w:t>
      </w:r>
      <w:r>
        <w:rPr>
          <w:rFonts w:ascii="Arial" w:hAnsi="Arial"/>
          <w:sz w:val="22"/>
        </w:rPr>
        <w:t>Grisaru-Soen G, Komisar O, Aizenstein O, et al. Retropharyngeal and parapharyngeal abscess in children. Int J Pediatr Otorhinolaryngol. 2010;74(9):1016-20. doi: 10.1016/j.ijporl.2010.05.030.</w:t>
      </w:r>
    </w:p>
    <w:p>
      <w:pPr>
        <w:jc w:val="both"/>
        <w:spacing w:before="60" w:after="60" w:line="276" w:lineRule="auto"/>
      </w:pPr>
      <w:r>
        <w:rPr>
          <w:rFonts w:ascii="Arial" w:hAnsi="Arial"/>
          <w:b/>
          <w:sz w:val="22"/>
        </w:rPr>
        <w:t xml:space="preserve">17. </w:t>
      </w:r>
      <w:r>
        <w:rPr>
          <w:rFonts w:ascii="Arial" w:hAnsi="Arial"/>
          <w:sz w:val="22"/>
        </w:rPr>
        <w:t>Parhiscar A, Har-El G. Deep neck abscess: a retrospective review of 210 cases. Ann Otol Rhinol Laryngol. 2001;110(11):1051-4. doi: 10.1177/000348940111001111.</w:t>
      </w:r>
    </w:p>
    <w:p>
      <w:pPr>
        <w:jc w:val="both"/>
        <w:spacing w:before="60" w:after="60" w:line="276" w:lineRule="auto"/>
      </w:pPr>
      <w:r>
        <w:rPr>
          <w:rFonts w:ascii="Arial" w:hAnsi="Arial"/>
          <w:b/>
          <w:sz w:val="22"/>
        </w:rPr>
        <w:t xml:space="preserve">18. </w:t>
      </w:r>
      <w:r>
        <w:rPr>
          <w:rFonts w:ascii="Arial" w:hAnsi="Arial"/>
          <w:sz w:val="22"/>
        </w:rPr>
        <w:t>Endo S, Murayama F, Hasegawa T, et al. Guideline of surgical management based on diffusion of descending necrotizing mediastinitis. Jpn J Thorac Cardiovasc Surg. 1999;47(1):14-9. doi: 10.1007/BF03217709.</w:t>
      </w:r>
    </w:p>
    <w:p>
      <w:pPr>
        <w:jc w:val="both"/>
        <w:spacing w:before="60" w:after="60" w:line="276" w:lineRule="auto"/>
      </w:pPr>
      <w:r>
        <w:rPr>
          <w:rFonts w:ascii="Arial" w:hAnsi="Arial"/>
          <w:b/>
          <w:sz w:val="22"/>
        </w:rPr>
        <w:t xml:space="preserve">19. </w:t>
      </w:r>
      <w:r>
        <w:rPr>
          <w:rFonts w:ascii="Arial" w:hAnsi="Arial"/>
          <w:sz w:val="22"/>
        </w:rPr>
        <w:t>Riordan T. Human infection with Fusobacterium necrophorum (Necrobacillosis), with a focus on Lemierre's syndrome. Clin Microbiol Rev. 2007;20(4):622-59. doi: 10.1128/CMR.00011-07.</w:t>
      </w:r>
    </w:p>
    <w:p>
      <w:pPr>
        <w:jc w:val="both"/>
        <w:spacing w:before="60" w:after="60" w:line="276" w:lineRule="auto"/>
      </w:pPr>
      <w:r>
        <w:rPr>
          <w:rFonts w:ascii="Arial" w:hAnsi="Arial"/>
          <w:b/>
          <w:sz w:val="22"/>
        </w:rPr>
        <w:t xml:space="preserve">20. </w:t>
      </w:r>
      <w:r>
        <w:rPr>
          <w:rFonts w:ascii="Arial" w:hAnsi="Arial"/>
          <w:sz w:val="22"/>
        </w:rPr>
        <w:t>Kullberg BJ, Arendrup MC. Invasive fungal disease. Br J Haematol. 2015;171(5):617-29. doi: 10.1111/bjh.13614.</w:t>
      </w:r>
    </w:p>
    <w:p>
      <w:pPr>
        <w:jc w:val="both"/>
        <w:spacing w:before="60" w:after="60" w:line="276" w:lineRule="auto"/>
      </w:pPr>
      <w:r>
        <w:rPr>
          <w:rFonts w:ascii="Arial" w:hAnsi="Arial"/>
          <w:b/>
          <w:sz w:val="22"/>
        </w:rPr>
        <w:t xml:space="preserve">21. </w:t>
      </w:r>
      <w:r>
        <w:rPr>
          <w:rFonts w:ascii="Arial" w:hAnsi="Arial"/>
          <w:sz w:val="22"/>
        </w:rPr>
        <w:t>Mariano RC, de Moraes M, Santos FA, et al. Ludwig's Angina: severity, clinical course and outcomes. Oral Maxillofac Surg. 2021;25(3):307-14. doi: 10.1007/s10006-020-00905-5.</w:t>
      </w:r>
    </w:p>
    <w:p>
      <w:pPr>
        <w:jc w:val="both"/>
        <w:spacing w:before="60" w:after="60" w:line="276" w:lineRule="auto"/>
      </w:pPr>
      <w:r>
        <w:rPr>
          <w:rFonts w:ascii="Arial" w:hAnsi="Arial"/>
          <w:b/>
          <w:sz w:val="22"/>
        </w:rPr>
        <w:t xml:space="preserve">22. </w:t>
      </w:r>
      <w:r>
        <w:rPr>
          <w:rFonts w:ascii="Arial" w:hAnsi="Arial"/>
          <w:sz w:val="22"/>
        </w:rPr>
        <w:t>Martins JR, Chagas OL Jr, Weschenfelder F, et al. The use of antibiotics in odontogenic infections: what is the best choice? J Oral Maxillofac Surg. 2017;75(12):2606.e1-2606.e11. doi: 10.1016/j.joms.2017.08.003.</w:t>
      </w:r>
    </w:p>
    <w:p>
      <w:pPr>
        <w:jc w:val="both"/>
        <w:spacing w:before="60" w:after="60" w:line="276" w:lineRule="auto"/>
      </w:pPr>
      <w:r>
        <w:rPr>
          <w:rFonts w:ascii="Arial" w:hAnsi="Arial"/>
          <w:b/>
          <w:sz w:val="22"/>
        </w:rPr>
        <w:t xml:space="preserve">23. </w:t>
      </w:r>
      <w:r>
        <w:rPr>
          <w:rFonts w:ascii="Arial" w:hAnsi="Arial"/>
          <w:sz w:val="22"/>
        </w:rPr>
        <w:t>Pinto A, Scaglione M, Scuderi MG, et al. Infections of the neck leading to descending necrotizing mediastinitis: role of multi-detector row computed tomography. Eur J Radiol. 2008;65(3):389-94. doi: 10.1016/j.ejrad.2007.04.015.</w:t>
      </w:r>
    </w:p>
    <w:p>
      <w:pPr>
        <w:jc w:val="both"/>
        <w:spacing w:before="60" w:after="60" w:line="276" w:lineRule="auto"/>
      </w:pPr>
      <w:r>
        <w:rPr>
          <w:rFonts w:ascii="Arial" w:hAnsi="Arial"/>
          <w:b/>
          <w:sz w:val="22"/>
        </w:rPr>
        <w:t xml:space="preserve">24. </w:t>
      </w:r>
      <w:r>
        <w:rPr>
          <w:rFonts w:ascii="Arial" w:hAnsi="Arial"/>
          <w:sz w:val="22"/>
        </w:rPr>
        <w:t>Simon L, Gauvin F, Amre DK, et al. Serum procalcitonin and C-reactive protein levels as markers of bacterial infection. Clin Infect Dis. 2004;39(2):206-17. doi: 10.1086/421997.</w:t>
      </w:r>
    </w:p>
    <w:p>
      <w:pPr>
        <w:jc w:val="both"/>
        <w:spacing w:before="60" w:after="60" w:line="276" w:lineRule="auto"/>
      </w:pPr>
      <w:r>
        <w:rPr>
          <w:rFonts w:ascii="Arial" w:hAnsi="Arial"/>
          <w:b/>
          <w:sz w:val="22"/>
        </w:rPr>
        <w:t xml:space="preserve">25. </w:t>
      </w:r>
      <w:r>
        <w:rPr>
          <w:rFonts w:ascii="Arial" w:hAnsi="Arial"/>
          <w:sz w:val="22"/>
        </w:rPr>
        <w:t>Marioni G, Rinaldi R, Staffieri C, et al. Deep neck infection with dental origin: analysis of 85 consecutive cases (2000-2006). Acta Otolaryngol. 2008;128(2):201-6. doi: 10.1080/00016480701387077.</w:t>
      </w:r>
    </w:p>
    <w:p>
      <w:r>
        <w:br w:type="page"/>
      </w:r>
    </w:p>
    <w:p>
      <w:pPr>
        <w:pStyle w:val="Heading1"/>
        <w:spacing w:before="240" w:after="120"/>
        <w:pBdr>
          <w:bottom w:val="single" w:sz="8" w:space="4" w:color="2E75B6"/>
        </w:pBdr>
      </w:pPr>
      <w:r>
        <w:t>DECLARACIÓN DE CONTRIBUCIÓN DE AUTORES</w:t>
      </w:r>
    </w:p>
    <w:p>
      <w:pPr>
        <w:jc w:val="both"/>
        <w:spacing w:before="80" w:after="120" w:line="276" w:lineRule="auto"/>
      </w:pPr>
      <w:r>
        <w:rPr>
          <w:rFonts w:ascii="Arial" w:hAnsi="Arial"/>
          <w:b w:val="0"/>
          <w:i w:val="0"/>
          <w:sz w:val="22"/>
        </w:rPr>
        <w:t>De acuerdo con la taxonomía CRediT (Contributor Roles Taxonomy), las contribuciones de cada autor al presente reporte de caso son las siguientes:</w:t>
      </w:r>
    </w:p>
    <w:p>
      <w:pPr>
        <w:jc w:val="left"/>
        <w:spacing w:before="200" w:after="80"/>
      </w:pPr>
      <w:r>
        <w:rPr>
          <w:rFonts w:ascii="Arial" w:hAnsi="Arial"/>
          <w:b/>
          <w:color w:val="1F3864"/>
          <w:sz w:val="22"/>
        </w:rPr>
        <w:t xml:space="preserve">Cuadro 10. </w:t>
      </w:r>
      <w:r>
        <w:rPr>
          <w:rFonts w:ascii="Arial" w:hAnsi="Arial"/>
          <w:sz w:val="22"/>
        </w:rPr>
        <w:t>Contribuciones de autores según taxonomía CRediT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Rol / Role</w:t>
            </w:r>
          </w:p>
        </w:tc>
        <w:tc>
          <w:tcPr>
            <w:tcW w:type="dxa" w:w="170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J.P.</w:t>
            </w:r>
          </w:p>
        </w:tc>
        <w:tc>
          <w:tcPr>
            <w:tcW w:type="dxa" w:w="170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C.A.</w:t>
            </w:r>
          </w:p>
        </w:tc>
        <w:tc>
          <w:tcPr>
            <w:tcW w:type="dxa" w:w="170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H.J.</w:t>
            </w:r>
          </w:p>
        </w:tc>
        <w:tc>
          <w:tcPr>
            <w:tcW w:type="dxa" w:w="170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G.S.</w:t>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Conceptualización</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Curación de datos</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Análisis formal</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Investigación</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Metodología</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Supervisión</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Validación</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Visualización</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Software / Análisis digital</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Escritura — borrador original</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Escritura — revisión y edición</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bl>
    <w:p>
      <w:pPr>
        <w:spacing w:before="40" w:after="40"/>
      </w:pPr>
    </w:p>
    <w:p>
      <w:pPr>
        <w:jc w:val="both"/>
        <w:spacing w:before="120" w:after="80" w:line="276" w:lineRule="auto"/>
      </w:pPr>
      <w:r>
        <w:rPr>
          <w:rFonts w:ascii="Arial" w:hAnsi="Arial"/>
          <w:b w:val="0"/>
          <w:i/>
          <w:sz w:val="22"/>
        </w:rPr>
        <w:t>Todos los autores han leído y aprobado la versión final del manuscrito para su publicación.</w:t>
      </w:r>
    </w:p>
    <w:p>
      <w:r>
        <w:br w:type="page"/>
      </w:r>
    </w:p>
    <w:p>
      <w:pPr>
        <w:jc w:val="center"/>
        <w:spacing w:before="1200" w:after="200"/>
      </w:pPr>
      <w:r>
        <w:rPr>
          <w:rFonts w:ascii="Arial" w:hAnsi="Arial"/>
          <w:color w:val="2E75B6"/>
          <w:sz w:val="28"/>
        </w:rPr>
        <w:t>━━━━━━━━━━━━━━━━━━━━━━━━━━━━━━━━━━━━━━━━━━━━━━━━━━━━━━━</w:t>
      </w:r>
    </w:p>
    <w:p>
      <w:pPr>
        <w:jc w:val="center"/>
        <w:spacing w:before="200" w:after="200"/>
      </w:pPr>
      <w:r>
        <w:rPr>
          <w:rFonts w:ascii="Arial" w:hAnsi="Arial"/>
          <w:b/>
          <w:color w:val="1F3864"/>
          <w:sz w:val="40"/>
        </w:rPr>
        <w:t>ENGLISH VERSION</w:t>
      </w:r>
    </w:p>
    <w:p>
      <w:pPr>
        <w:jc w:val="center"/>
        <w:spacing w:before="80" w:after="200"/>
      </w:pPr>
      <w:r>
        <w:rPr>
          <w:rFonts w:ascii="Arial" w:hAnsi="Arial"/>
          <w:i/>
          <w:color w:val="777777"/>
          <w:sz w:val="24"/>
        </w:rPr>
        <w:t>Complete text in English  /  Texto completo en inglés</w:t>
      </w:r>
    </w:p>
    <w:p>
      <w:pPr>
        <w:jc w:val="center"/>
        <w:spacing w:before="80" w:after="1200"/>
      </w:pPr>
      <w:r>
        <w:rPr>
          <w:rFonts w:ascii="Arial" w:hAnsi="Arial"/>
          <w:color w:val="2E75B6"/>
          <w:sz w:val="28"/>
        </w:rPr>
        <w:t>━━━━━━━━━━━━━━━━━━━━━━━━━━━━━━━━━━━━━━━━━━━━━━━━━━━━━━━</w:t>
      </w:r>
    </w:p>
    <w:p>
      <w:r>
        <w:br w:type="page"/>
      </w:r>
    </w:p>
    <w:p>
      <w:pPr>
        <w:jc w:val="center"/>
        <w:spacing w:before="0" w:after="60"/>
      </w:pPr>
      <w:r>
        <w:rPr>
          <w:rFonts w:ascii="Arial" w:hAnsi="Arial"/>
          <w:b/>
          <w:i w:val="0"/>
          <w:color w:val="2E75B6"/>
          <w:sz w:val="22"/>
        </w:rPr>
        <w:t>MINISTRY OF PUBLIC HEALTH OF ECUADOR</w:t>
      </w:r>
    </w:p>
    <w:p>
      <w:pPr>
        <w:jc w:val="center"/>
        <w:spacing w:before="0" w:after="120"/>
      </w:pPr>
      <w:r>
        <w:rPr>
          <w:rFonts w:ascii="Arial" w:hAnsi="Arial"/>
          <w:b w:val="0"/>
          <w:i w:val="0"/>
          <w:color w:val="777777"/>
          <w:sz w:val="20"/>
        </w:rPr>
        <w:t>Eugenio Espejo Specialty Hospital | Otorhinolaryngology Department | Quito, Ecuador</w:t>
      </w:r>
    </w:p>
    <w:p>
      <w:pPr>
        <w:spacing w:before="40" w:after="40"/>
      </w:pPr>
    </w:p>
    <w:p>
      <w:pPr>
        <w:jc w:val="center"/>
        <w:spacing w:before="160" w:after="120"/>
      </w:pPr>
      <w:r>
        <w:rPr>
          <w:rFonts w:ascii="Arial" w:hAnsi="Arial"/>
          <w:b/>
          <w:color w:val="1F3864"/>
          <w:sz w:val="28"/>
        </w:rPr>
        <w:t xml:space="preserve">LUDWIG'S ANGINA COMPLICATED WITH CERVICAL NECROTIZING FASCIITIS IN A DIABETIC PATIENT: A CASE REPORT WITH ISOLATION OF ESBL-PRODUCING </w:t>
      </w:r>
      <w:r>
        <w:rPr>
          <w:rFonts w:ascii="Arial" w:hAnsi="Arial"/>
          <w:b/>
          <w:i/>
          <w:color w:val="1F3864"/>
          <w:sz w:val="28"/>
        </w:rPr>
        <w:t>Klebsiella pneumoniae</w:t>
      </w:r>
    </w:p>
    <w:p>
      <w:pPr>
        <w:spacing w:before="40" w:after="40"/>
      </w:pPr>
    </w:p>
    <w:p>
      <w:pPr>
        <w:jc w:val="center"/>
        <w:spacing w:before="20" w:after="20"/>
      </w:pPr>
      <w:r>
        <w:rPr>
          <w:rFonts w:ascii="Arial" w:hAnsi="Arial"/>
          <w:b w:val="0"/>
          <w:i w:val="0"/>
          <w:sz w:val="22"/>
        </w:rPr>
        <w:t>Jean Pierre Gavilanez Heras, MD, MSc¹</w:t>
      </w:r>
    </w:p>
    <w:p>
      <w:pPr>
        <w:jc w:val="center"/>
        <w:spacing w:before="20" w:after="20"/>
      </w:pPr>
      <w:r>
        <w:rPr>
          <w:rFonts w:ascii="Arial" w:hAnsi="Arial"/>
          <w:b w:val="0"/>
          <w:i w:val="0"/>
          <w:sz w:val="22"/>
        </w:rPr>
        <w:t>Christian Alfonso Freire Zamora, MD, Esp. ORL¹*</w:t>
      </w:r>
    </w:p>
    <w:p>
      <w:pPr>
        <w:jc w:val="center"/>
        <w:spacing w:before="20" w:after="20"/>
      </w:pPr>
      <w:r>
        <w:rPr>
          <w:rFonts w:ascii="Arial" w:hAnsi="Arial"/>
          <w:b w:val="0"/>
          <w:i w:val="0"/>
          <w:sz w:val="22"/>
        </w:rPr>
        <w:t>Hernán Javier Campoverde Sánchez, MD, MSc¹</w:t>
      </w:r>
    </w:p>
    <w:p>
      <w:pPr>
        <w:jc w:val="center"/>
        <w:spacing w:before="20" w:after="20"/>
      </w:pPr>
      <w:r>
        <w:rPr>
          <w:rFonts w:ascii="Arial" w:hAnsi="Arial"/>
          <w:b w:val="0"/>
          <w:i w:val="0"/>
          <w:sz w:val="22"/>
        </w:rPr>
        <w:t>Gabriel Saenz Ortega, MD²</w:t>
      </w:r>
    </w:p>
    <w:p>
      <w:pPr>
        <w:spacing w:before="40" w:after="40"/>
      </w:pPr>
    </w:p>
    <w:p>
      <w:pPr>
        <w:jc w:val="center"/>
        <w:spacing w:before="0" w:after="20"/>
      </w:pPr>
      <w:r>
        <w:rPr>
          <w:rFonts w:ascii="Arial" w:hAnsi="Arial"/>
          <w:b w:val="0"/>
          <w:i/>
          <w:color w:val="777777"/>
          <w:sz w:val="18"/>
        </w:rPr>
        <w:t>1 Department of Otorhinolaryngology, Eugenio Espejo Specialty Hospital (HEEE), Ministry of Public Health of Ecuador. Quito, Ecuador.</w:t>
      </w:r>
    </w:p>
    <w:p>
      <w:pPr>
        <w:jc w:val="center"/>
        <w:spacing w:before="0" w:after="20"/>
      </w:pPr>
      <w:r>
        <w:rPr>
          <w:rFonts w:ascii="Arial" w:hAnsi="Arial"/>
          <w:b w:val="0"/>
          <w:i/>
          <w:color w:val="777777"/>
          <w:sz w:val="18"/>
        </w:rPr>
        <w:t>2 Independent Physician / Médico independiente. Quito, Ecuador.</w:t>
      </w:r>
    </w:p>
    <w:p>
      <w:pPr>
        <w:jc w:val="center"/>
        <w:spacing w:before="0" w:after="40"/>
      </w:pPr>
      <w:r>
        <w:rPr>
          <w:rFonts w:ascii="Arial" w:hAnsi="Arial"/>
          <w:b w:val="0"/>
          <w:i/>
          <w:color w:val="777777"/>
          <w:sz w:val="18"/>
        </w:rPr>
        <w:t>* Christian Alfonso Freire Zamora, MD, Esp. ORL — ORL Specialist, Head of ORL Department, HEEE. Case Supervisor.</w:t>
      </w:r>
    </w:p>
    <w:p>
      <w:pPr>
        <w:jc w:val="center"/>
        <w:spacing w:before="0" w:after="120"/>
      </w:pPr>
      <w:r>
        <w:rPr>
          <w:rFonts w:ascii="Arial" w:hAnsi="Arial"/>
          <w:b w:val="0"/>
          <w:i/>
          <w:color w:val="777777"/>
          <w:sz w:val="18"/>
        </w:rPr>
        <w:t>ORCIDs: J.P.: 0009-0008-6518-6041 | C.A.: 0000-0003-2237-1462 | H.J.: 0009-0000-4802-0105 | G.S.: 0009-0009-5669-1027</w:t>
      </w:r>
    </w:p>
    <w:p>
      <w:pPr>
        <w:spacing w:before="40" w:after="40"/>
      </w:pPr>
    </w:p>
    <w:p>
      <w:pPr>
        <w:jc w:val="center"/>
        <w:spacing w:before="80" w:after="40"/>
      </w:pPr>
      <w:r>
        <w:rPr>
          <w:rFonts w:ascii="Arial" w:hAnsi="Arial"/>
          <w:b/>
          <w:i w:val="0"/>
          <w:sz w:val="20"/>
        </w:rPr>
        <w:t>Corresponding author:</w:t>
      </w:r>
    </w:p>
    <w:p>
      <w:pPr>
        <w:jc w:val="center"/>
        <w:spacing w:before="20" w:after="20"/>
      </w:pPr>
      <w:r>
        <w:rPr>
          <w:rFonts w:ascii="Arial" w:hAnsi="Arial"/>
          <w:b w:val="0"/>
          <w:i w:val="0"/>
          <w:sz w:val="20"/>
        </w:rPr>
        <w:t>Jean Pierre Gavilanez Heras, MD, MSc</w:t>
      </w:r>
    </w:p>
    <w:p>
      <w:pPr>
        <w:jc w:val="center"/>
        <w:spacing w:before="20" w:after="20"/>
      </w:pPr>
      <w:r>
        <w:rPr>
          <w:rFonts w:ascii="Arial" w:hAnsi="Arial"/>
          <w:b w:val="0"/>
          <w:i w:val="0"/>
          <w:sz w:val="20"/>
        </w:rPr>
        <w:t>jean.gavilanez@hee.gob.ec  |  ORCID: 0009-0008-6518-6041</w:t>
      </w:r>
    </w:p>
    <w:p>
      <w:pPr>
        <w:jc w:val="center"/>
        <w:spacing w:before="20" w:after="120"/>
      </w:pPr>
      <w:r>
        <w:rPr>
          <w:rFonts w:ascii="Arial" w:hAnsi="Arial"/>
          <w:b w:val="0"/>
          <w:i w:val="0"/>
          <w:sz w:val="20"/>
        </w:rPr>
        <w:t>Hospital de Especialidades Eugenio Espejo, Quito, Ecuador</w:t>
      </w:r>
    </w:p>
    <w:p>
      <w:pPr>
        <w:jc w:val="center"/>
        <w:spacing w:before="80" w:after="40"/>
      </w:pPr>
      <w:r>
        <w:rPr>
          <w:rFonts w:ascii="Arial" w:hAnsi="Arial"/>
          <w:b w:val="0"/>
          <w:i/>
          <w:color w:val="777777"/>
          <w:sz w:val="18"/>
        </w:rPr>
        <w:t>Conflicts of interest: None.  |  Funding: None.  |  Informed consent: Obtained.</w:t>
      </w:r>
    </w:p>
    <w:p>
      <w:r>
        <w:br w:type="page"/>
      </w:r>
    </w:p>
    <w:p>
      <w:pPr>
        <w:pStyle w:val="Heading1"/>
        <w:spacing w:before="240" w:after="120"/>
        <w:pBdr>
          <w:bottom w:val="single" w:sz="8" w:space="4" w:color="2E75B6"/>
        </w:pBdr>
      </w:pPr>
      <w:r>
        <w:t>ABSTRACT</w:t>
      </w:r>
    </w:p>
    <w:p>
      <w:pPr>
        <w:jc w:val="both"/>
        <w:spacing w:before="80" w:after="80" w:line="276" w:lineRule="auto"/>
      </w:pPr>
      <w:r>
        <w:rPr>
          <w:rFonts w:ascii="Arial" w:hAnsi="Arial"/>
          <w:b/>
          <w:i w:val="0"/>
          <w:sz w:val="22"/>
        </w:rPr>
        <w:t xml:space="preserve">Introduction: </w:t>
      </w:r>
      <w:r>
        <w:rPr>
          <w:rFonts w:ascii="Arial" w:hAnsi="Arial"/>
          <w:b w:val="0"/>
          <w:i w:val="0"/>
          <w:sz w:val="22"/>
        </w:rPr>
        <w:t>Ludwig's Angina is a bilateral indurated cellulitis of the floor of the mouth that, without timely treatment, can progress to cervical necrotizing fasciitis (CNF) with 15–40% mortality. Diabetes mellitus (DM) is the main risk factor for progression.</w:t>
        <w:br/>
      </w:r>
    </w:p>
    <w:p>
      <w:pPr>
        <w:jc w:val="both"/>
        <w:spacing w:before="80" w:after="80" w:line="276" w:lineRule="auto"/>
      </w:pPr>
      <w:r>
        <w:rPr>
          <w:rFonts w:ascii="Arial" w:hAnsi="Arial"/>
          <w:b/>
          <w:i w:val="0"/>
          <w:sz w:val="22"/>
        </w:rPr>
        <w:t xml:space="preserve">Case Presentation: </w:t>
      </w:r>
    </w:p>
    <w:p>
      <w:pPr>
        <w:jc w:val="both"/>
        <w:spacing w:before="80" w:after="80" w:line="276" w:lineRule="auto"/>
      </w:pPr>
      <w:r>
        <w:rPr>
          <w:rFonts w:ascii="Arial" w:hAnsi="Arial"/>
          <w:b/>
          <w:color w:val="FF6600"/>
          <w:sz w:val="22"/>
        </w:rPr>
        <w:t>⚠ [AI_PENDING: Write case presentation paragraph summarizing key patient data, laboratory findings, cultures and outcome (max 150 words)]</w:t>
      </w:r>
    </w:p>
    <w:p>
      <w:pPr>
        <w:jc w:val="both"/>
        <w:spacing w:before="80" w:after="80" w:line="276" w:lineRule="auto"/>
      </w:pPr>
      <w:r>
        <w:rPr>
          <w:rFonts w:ascii="Arial" w:hAnsi="Arial"/>
          <w:b/>
          <w:i w:val="0"/>
          <w:sz w:val="22"/>
        </w:rPr>
        <w:t xml:space="preserve">Conclusions: </w:t>
      </w:r>
    </w:p>
    <w:p>
      <w:pPr>
        <w:jc w:val="both"/>
        <w:spacing w:before="80" w:after="80" w:line="276" w:lineRule="auto"/>
      </w:pPr>
      <w:r>
        <w:rPr>
          <w:rFonts w:ascii="Arial" w:hAnsi="Arial"/>
          <w:b/>
          <w:color w:val="FF6600"/>
          <w:sz w:val="22"/>
        </w:rPr>
        <w:t>⚠ [AI_PENDING: Write abstract conclusions in 2-3 sentences]</w:t>
      </w:r>
    </w:p>
    <w:p>
      <w:pPr>
        <w:jc w:val="both"/>
        <w:spacing w:before="80" w:after="80" w:line="276" w:lineRule="auto"/>
      </w:pPr>
      <w:r>
        <w:rPr>
          <w:rFonts w:ascii="Arial" w:hAnsi="Arial"/>
          <w:b/>
          <w:i/>
          <w:sz w:val="22"/>
        </w:rPr>
        <w:t xml:space="preserve">Keywords: </w:t>
      </w:r>
      <w:r>
        <w:rPr>
          <w:rFonts w:ascii="Arial" w:hAnsi="Arial"/>
          <w:b w:val="0"/>
          <w:i/>
          <w:sz w:val="22"/>
        </w:rPr>
        <w:t>Ludwig's Angina; cervical necrotizing fasciitis; odontogenic infection; ESBL Klebsiella pneumoniae; diabetes mellitus; surgical debridement; meropenem; Eugenio Espejo Hospital.</w:t>
      </w:r>
    </w:p>
    <w:p>
      <w:r>
        <w:br w:type="page"/>
      </w:r>
    </w:p>
    <w:p>
      <w:pPr>
        <w:pStyle w:val="Heading1"/>
        <w:spacing w:before="240" w:after="120"/>
        <w:pBdr>
          <w:bottom w:val="single" w:sz="8" w:space="4" w:color="2E75B6"/>
        </w:pBdr>
      </w:pPr>
      <w:r>
        <w:t>1. INTRODUCTION</w:t>
      </w:r>
    </w:p>
    <w:p>
      <w:pPr>
        <w:pStyle w:val="Heading2"/>
        <w:spacing w:before="200" w:after="80"/>
      </w:pPr>
      <w:r>
        <w:t>1.1 Ludwig's Angina: definition and anatomy</w:t>
      </w:r>
    </w:p>
    <w:p>
      <w:pPr>
        <w:jc w:val="both"/>
        <w:spacing w:before="80" w:after="80" w:line="276" w:lineRule="auto"/>
      </w:pPr>
      <w:r>
        <w:rPr>
          <w:rFonts w:ascii="Arial" w:hAnsi="Arial"/>
          <w:b/>
          <w:color w:val="FF6600"/>
          <w:sz w:val="22"/>
        </w:rPr>
        <w:t>⚠ [AI_PENDING: Describe anatomical definition, involved spaces and communication with retropharyngeal/mediastinal space. Include citations 1,2,3,4]</w:t>
      </w:r>
    </w:p>
    <w:p>
      <w:pPr>
        <w:pStyle w:val="Heading2"/>
        <w:spacing w:before="200" w:after="80"/>
      </w:pPr>
      <w:r>
        <w:t>1.2 Epidemiology and risk factors</w:t>
      </w:r>
    </w:p>
    <w:p>
      <w:pPr>
        <w:jc w:val="both"/>
        <w:spacing w:before="80" w:after="80" w:line="276" w:lineRule="auto"/>
      </w:pPr>
      <w:r>
        <w:rPr>
          <w:rFonts w:ascii="Arial" w:hAnsi="Arial"/>
          <w:b/>
          <w:color w:val="FF6600"/>
          <w:sz w:val="22"/>
        </w:rPr>
        <w:t>⚠ [AI_PENDING: Epidemiology, odontogenic etiology, DM as risk factor. Citations 5,6,8,21,25]</w:t>
      </w:r>
    </w:p>
    <w:p>
      <w:pPr>
        <w:pStyle w:val="Heading2"/>
        <w:spacing w:before="200" w:after="80"/>
      </w:pPr>
      <w:r>
        <w:t>1.3 Progression to cervical necrotizing fasciitis</w:t>
      </w:r>
    </w:p>
    <w:p>
      <w:pPr>
        <w:jc w:val="both"/>
        <w:spacing w:before="80" w:after="80" w:line="276" w:lineRule="auto"/>
      </w:pPr>
      <w:r>
        <w:rPr>
          <w:rFonts w:ascii="Arial" w:hAnsi="Arial"/>
          <w:b/>
          <w:color w:val="FF6600"/>
          <w:sz w:val="22"/>
        </w:rPr>
        <w:t>⚠ [AI_PENDING: Define CNF, mortality, diagnostic triad. Citations 4,9,10]</w:t>
      </w:r>
    </w:p>
    <w:p>
      <w:pPr>
        <w:jc w:val="both"/>
        <w:spacing w:before="80" w:after="80" w:line="276" w:lineRule="auto"/>
      </w:pPr>
      <w:r>
        <w:rPr>
          <w:rFonts w:ascii="Arial" w:hAnsi="Arial"/>
          <w:b/>
          <w:color w:val="FF6600"/>
          <w:sz w:val="22"/>
        </w:rPr>
        <w:t>⚠ [AI_PENDING: Write report objective mentioning diagnosis, organism, T2DM context and aspects to analyze. Include citations 1,21]</w:t>
      </w:r>
    </w:p>
    <w:p>
      <w:r>
        <w:br w:type="page"/>
      </w:r>
    </w:p>
    <w:p>
      <w:pPr>
        <w:pStyle w:val="Heading1"/>
        <w:spacing w:before="240" w:after="120"/>
        <w:pBdr>
          <w:bottom w:val="single" w:sz="8" w:space="4" w:color="2E75B6"/>
        </w:pBdr>
      </w:pPr>
      <w:r>
        <w:t>2. CASE PRESENTATION</w:t>
      </w:r>
    </w:p>
    <w:p>
      <w:pPr>
        <w:jc w:val="both"/>
        <w:spacing w:before="80" w:after="80" w:line="276" w:lineRule="auto"/>
      </w:pPr>
      <w:r>
        <w:rPr>
          <w:rFonts w:ascii="Arial" w:hAnsi="Arial"/>
          <w:b w:val="0"/>
          <w:i w:val="0"/>
          <w:sz w:val="22"/>
        </w:rPr>
        <w:t>Reported with informed patient consent per Ecuador's Organic Health Law. Identity protected with initials.</w:t>
      </w:r>
    </w:p>
    <w:p>
      <w:pPr>
        <w:pStyle w:val="Heading2"/>
        <w:spacing w:before="200" w:after="80"/>
      </w:pPr>
      <w:r>
        <w:t>2.1 Patient demographics</w:t>
      </w:r>
    </w:p>
    <w:p>
      <w:pPr>
        <w:jc w:val="left"/>
        <w:spacing w:before="200" w:after="80"/>
      </w:pPr>
      <w:r>
        <w:rPr>
          <w:rFonts w:ascii="Arial" w:hAnsi="Arial"/>
          <w:b/>
          <w:color w:val="1F3864"/>
          <w:sz w:val="22"/>
        </w:rPr>
        <w:t xml:space="preserve">Cuadro 1. </w:t>
      </w:r>
      <w:r>
        <w:rPr>
          <w:rFonts w:ascii="Arial" w:hAnsi="Arial"/>
          <w:sz w:val="22"/>
        </w:rPr>
        <w:t>Patient demographic data</w:t>
      </w: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Parameter</w:t>
            </w:r>
          </w:p>
        </w:tc>
        <w:tc>
          <w:tcPr>
            <w:tcW w:type="dxa" w:w="5669"/>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Data</w:t>
            </w:r>
          </w:p>
        </w:tc>
      </w:tr>
      <w:tr>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Patient (initials)</w:t>
            </w:r>
          </w:p>
        </w:tc>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G.M.P.Q.</w:t>
            </w:r>
          </w:p>
        </w:tc>
      </w:tr>
      <w:tr>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Sex / Age</w:t>
            </w:r>
          </w:p>
        </w:tc>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Female, 49 years (07/05/1976)</w:t>
            </w:r>
          </w:p>
        </w:tc>
      </w:tr>
      <w:tr>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Origin</w:t>
            </w:r>
          </w:p>
        </w:tc>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Santo Domingo de los Tsáchilas, Ecuador</w:t>
            </w:r>
          </w:p>
        </w:tc>
      </w:tr>
      <w:tr>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Referring hospital</w:t>
            </w:r>
          </w:p>
        </w:tc>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Hospital Dr. Gustavo Domínguez Zambrano, Santo Domingo</w:t>
            </w:r>
          </w:p>
        </w:tc>
      </w:tr>
      <w:tr>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Date of admission (HEEE)</w:t>
            </w:r>
          </w:p>
        </w:tc>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January 16, 2026</w:t>
            </w:r>
          </w:p>
        </w:tc>
      </w:tr>
      <w:tr>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Admitting service</w:t>
            </w:r>
          </w:p>
        </w:tc>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Otorhinolaryngology — Floor 6, HEEE, Quito</w:t>
            </w:r>
          </w:p>
        </w:tc>
      </w:tr>
      <w:tr>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HEEE medical record</w:t>
            </w:r>
          </w:p>
        </w:tc>
        <w:tc>
          <w:tcPr>
            <w:tcW w:type="dxa" w:w="4703"/>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0802060905</w:t>
            </w:r>
          </w:p>
        </w:tc>
      </w:tr>
      <w:tr>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Case supervisor / Dept. head</w:t>
            </w:r>
          </w:p>
        </w:tc>
        <w:tc>
          <w:tcPr>
            <w:tcW w:type="dxa" w:w="4703"/>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Dr. Christian Alfonso Freire Zamora, MD, ORL Specialist — Head of ORL Dept., HEEE. Case Supervisor.</w:t>
            </w:r>
          </w:p>
        </w:tc>
      </w:tr>
    </w:tbl>
    <w:p>
      <w:pPr>
        <w:spacing w:before="40" w:after="40"/>
      </w:pPr>
    </w:p>
    <w:p>
      <w:pPr>
        <w:pStyle w:val="Heading2"/>
        <w:spacing w:before="200" w:after="80"/>
      </w:pPr>
      <w:r>
        <w:t>2.2 Chief complaint and medical history</w:t>
      </w:r>
    </w:p>
    <w:p>
      <w:pPr>
        <w:jc w:val="both"/>
        <w:spacing w:before="80" w:after="80" w:line="276" w:lineRule="auto"/>
      </w:pPr>
      <w:r>
        <w:rPr>
          <w:rFonts w:ascii="Arial" w:hAnsi="Arial"/>
          <w:b w:val="0"/>
          <w:i w:val="0"/>
          <w:sz w:val="22"/>
        </w:rPr>
        <w:t xml:space="preserve">~One month history (onset December 2025) of progressive mandibular edema extending to neck and chest, fever spikes, dysphagia, and cervical fistulas draining fetid purulent material. </w:t>
      </w:r>
      <w:r>
        <w:rPr>
          <w:rFonts w:ascii="Arial" w:hAnsi="Arial"/>
          <w:b/>
          <w:i w:val="0"/>
          <w:sz w:val="22"/>
        </w:rPr>
        <w:t>Triggering event: molar extraction on December 14, 2025</w:t>
      </w:r>
      <w:r>
        <w:rPr>
          <w:rFonts w:ascii="Arial" w:hAnsi="Arial"/>
          <w:b w:val="0"/>
          <w:i w:val="0"/>
          <w:sz w:val="22"/>
        </w:rPr>
        <w:t>, outpatient setting, without documented antibiotic coverage.</w:t>
      </w:r>
      <w:r>
        <w:rPr>
          <w:rFonts w:ascii="Arial" w:hAnsi="Arial"/>
          <w:b w:val="0"/>
          <w:i w:val="0"/>
          <w:sz w:val="22"/>
          <w:vertAlign w:val="superscript"/>
        </w:rPr>
        <w:t>22</w:t>
      </w:r>
    </w:p>
    <w:p>
      <w:pPr>
        <w:jc w:val="both"/>
        <w:spacing w:before="80" w:after="80" w:line="276" w:lineRule="auto"/>
      </w:pPr>
      <w:r>
        <w:rPr>
          <w:rFonts w:ascii="Arial" w:hAnsi="Arial"/>
          <w:b/>
          <w:i w:val="0"/>
          <w:sz w:val="22"/>
        </w:rPr>
        <w:t xml:space="preserve">Past medical history: </w:t>
      </w:r>
      <w:r>
        <w:rPr>
          <w:rFonts w:ascii="Arial" w:hAnsi="Arial"/>
          <w:b w:val="0"/>
          <w:i w:val="0"/>
          <w:sz w:val="22"/>
        </w:rPr>
        <w:t>T2DM × 11 years (metformin 500 mg PO). Hypertensive heart disease without CHF (ICD-10: I119). No known drug allergies.</w:t>
      </w:r>
    </w:p>
    <w:p>
      <w:pPr>
        <w:jc w:val="both"/>
        <w:spacing w:before="0" w:after="80" w:line="276" w:lineRule="auto"/>
      </w:pPr>
      <w:r>
        <w:rPr>
          <w:rFonts w:ascii="Arial" w:hAnsi="Arial"/>
          <w:b w:val="0"/>
          <w:i/>
          <w:color w:val="777777"/>
          <w:sz w:val="22"/>
        </w:rPr>
        <w:t>¹ NLR: neutrophil-to-lymphocyte ratio. ² PLR: platelet-to-lymphocyte ratio.</w:t>
      </w:r>
    </w:p>
    <w:p>
      <w:pPr>
        <w:pStyle w:val="Heading2"/>
        <w:spacing w:before="200" w:after="80"/>
      </w:pPr>
      <w:r>
        <w:t>2.3 Physical exam on HEEE admission</w:t>
      </w:r>
    </w:p>
    <w:p>
      <w:pPr>
        <w:jc w:val="left"/>
        <w:spacing w:before="200" w:after="80"/>
      </w:pPr>
      <w:r>
        <w:rPr>
          <w:rFonts w:ascii="Arial" w:hAnsi="Arial"/>
          <w:b/>
          <w:color w:val="1F3864"/>
          <w:sz w:val="22"/>
        </w:rPr>
        <w:t xml:space="preserve">Cuadro 2. </w:t>
      </w:r>
      <w:r>
        <w:rPr>
          <w:rFonts w:ascii="Arial" w:hAnsi="Arial"/>
          <w:sz w:val="22"/>
        </w:rPr>
        <w:t>Vital signs during transfer to HEEE (January 16, 2026)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Parameter</w:t>
            </w:r>
          </w:p>
        </w:tc>
        <w:tc>
          <w:tcPr>
            <w:tcW w:type="dxa" w:w="198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Initial value</w:t>
            </w:r>
          </w:p>
        </w:tc>
        <w:tc>
          <w:tcPr>
            <w:tcW w:type="dxa" w:w="198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Final value</w:t>
            </w:r>
          </w:p>
        </w:tc>
        <w:tc>
          <w:tcPr>
            <w:tcW w:type="dxa" w:w="226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Reference range</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HR (bpm)</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~85</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~104</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60–100</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Temperature (°C)</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39.2</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38.8</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36.5–37.5</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BP (mmHg)</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~152/89</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~105/75</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&lt; 130/80</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RR (rpm)</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20</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20</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12–20</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SpO2 (%)</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99</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94</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 95</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Glasgow</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15/15</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15/15</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15/15</w:t>
            </w:r>
          </w:p>
        </w:tc>
      </w:tr>
    </w:tbl>
    <w:p>
      <w:pPr>
        <w:spacing w:before="40" w:after="40"/>
      </w:pPr>
    </w:p>
    <w:p>
      <w:pPr>
        <w:jc w:val="both"/>
        <w:spacing w:before="80" w:after="80" w:line="276" w:lineRule="auto"/>
      </w:pPr>
      <w:r>
        <w:rPr>
          <w:rFonts w:ascii="Arial" w:hAnsi="Arial"/>
          <w:b w:val="0"/>
          <w:i w:val="0"/>
          <w:sz w:val="22"/>
        </w:rPr>
        <w:t>Relevant clinical findings on admission:</w:t>
      </w:r>
    </w:p>
    <w:p>
      <w:pPr>
        <w:pStyle w:val="ListBullet"/>
        <w:spacing w:before="60" w:after="60"/>
      </w:pPr>
      <w:r>
        <w:rPr>
          <w:rFonts w:ascii="Arial" w:hAnsi="Arial"/>
          <w:sz w:val="22"/>
        </w:rPr>
        <w:t>Extensive tissue necrosis of anterior and lateral cervical region with black eschar and yellowish fibrinoid areas.</w:t>
      </w:r>
    </w:p>
    <w:p>
      <w:pPr>
        <w:pStyle w:val="ListBullet"/>
        <w:spacing w:before="60" w:after="60"/>
      </w:pPr>
      <w:r>
        <w:rPr>
          <w:rFonts w:ascii="Arial" w:hAnsi="Arial"/>
          <w:sz w:val="22"/>
        </w:rPr>
        <w:t>Active cutaneous fistulas with fetid purulent drainage. Bilateral submandibular-supraclavicular indurated edema.</w:t>
      </w:r>
    </w:p>
    <w:p>
      <w:pPr>
        <w:pStyle w:val="ListBullet"/>
        <w:spacing w:before="60" w:after="60"/>
      </w:pPr>
      <w:r>
        <w:rPr>
          <w:rFonts w:ascii="Arial" w:hAnsi="Arial"/>
          <w:sz w:val="22"/>
        </w:rPr>
        <w:t>Functional trismus. Muffled voice. No audible stridor on admission. SpO2 94% during transfer.</w:t>
      </w:r>
    </w:p>
    <w:p>
      <w:pPr>
        <w:pStyle w:val="ListBullet"/>
        <w:spacing w:before="60" w:after="60"/>
      </w:pPr>
      <w:r>
        <w:rPr>
          <w:rFonts w:ascii="Arial" w:hAnsi="Arial"/>
          <w:sz w:val="22"/>
        </w:rPr>
        <w:t>Tachycardia (HR ~104 bpm). Temperature 38.8–39.2°C. Grade 2+ lower limb edema.</w:t>
      </w:r>
    </w:p>
    <w:p>
      <w:pPr>
        <w:pStyle w:val="Heading2"/>
        <w:spacing w:before="200" w:after="80"/>
      </w:pPr>
      <w:r>
        <w:t>2.4 Pre-admission laboratory results</w:t>
      </w:r>
    </w:p>
    <w:p>
      <w:pPr>
        <w:jc w:val="left"/>
        <w:spacing w:before="200" w:after="80"/>
      </w:pPr>
      <w:r>
        <w:rPr>
          <w:rFonts w:ascii="Arial" w:hAnsi="Arial"/>
          <w:b/>
          <w:color w:val="1F3864"/>
          <w:sz w:val="22"/>
        </w:rPr>
        <w:t xml:space="preserve">Cuadro 3. </w:t>
      </w:r>
      <w:r>
        <w:rPr>
          <w:rFonts w:ascii="Arial" w:hAnsi="Arial"/>
          <w:sz w:val="22"/>
        </w:rPr>
        <w:t>Pre-admission laboratory evolution — Hospital Dr. Gustavo Domínguez Zambrano (January 15–16, 2026)</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55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Parameter</w:t>
            </w:r>
          </w:p>
        </w:tc>
        <w:tc>
          <w:tcPr>
            <w:tcW w:type="dxa" w:w="1587"/>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15/01 15:00 h</w:t>
            </w:r>
          </w:p>
        </w:tc>
        <w:tc>
          <w:tcPr>
            <w:tcW w:type="dxa" w:w="1587"/>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16/01 01:41 h</w:t>
            </w:r>
          </w:p>
        </w:tc>
        <w:tc>
          <w:tcPr>
            <w:tcW w:type="dxa" w:w="1587"/>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16/01 10:50 h</w:t>
            </w:r>
          </w:p>
        </w:tc>
        <w:tc>
          <w:tcPr>
            <w:tcW w:type="dxa" w:w="1757"/>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Reference range</w:t>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WBC (×10³/µL)</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13.17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10.42</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19.55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4.0–10.0</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Neutrophils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83.3</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75.4</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79.4</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50–70</w:t>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NLR¹</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9.3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5.6</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7.5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&lt; 3.0</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PLR²</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628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479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648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&lt; 150</w:t>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Hemoglobin (g/dL)</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9.7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8.2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8.9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12.3–15.3</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Platelets (×10³/µL)</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741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675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727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149–409</w:t>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Glucose (mg/dL)</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299.7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164.9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60–100</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Sodium (mEq/L)</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126.9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130.6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136–145</w:t>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Potassium (mEq/L)</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3.3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3.1 ↓</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3.5–5.1</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pH (blood gas)</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7.581 ↑</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7.35–7.45</w:t>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Lactate (mmol/L)</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0.6–1.7</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HBsAg / Anti-HCV</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NEG / NEG</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Negative</w:t>
            </w:r>
          </w:p>
        </w:tc>
      </w:tr>
    </w:tbl>
    <w:p>
      <w:pPr>
        <w:spacing w:before="40" w:after="40"/>
      </w:pPr>
    </w:p>
    <w:p>
      <w:r>
        <w:br w:type="page"/>
      </w:r>
    </w:p>
    <w:p>
      <w:pPr>
        <w:pStyle w:val="Heading1"/>
        <w:spacing w:before="240" w:after="120"/>
        <w:pBdr>
          <w:bottom w:val="single" w:sz="8" w:space="4" w:color="2E75B6"/>
        </w:pBdr>
      </w:pPr>
      <w:r>
        <w:t>3. IMAGING STUDIES</w:t>
      </w:r>
    </w:p>
    <w:p>
      <w:pPr>
        <w:pStyle w:val="Heading2"/>
        <w:spacing w:before="200" w:after="80"/>
      </w:pPr>
      <w:r>
        <w:t>3.1 Sagittal plane — non-contrast CT of neck and chest</w:t>
      </w:r>
    </w:p>
    <w:p>
      <w:pPr>
        <w:jc w:val="both"/>
        <w:spacing w:before="80" w:after="80" w:line="276" w:lineRule="auto"/>
      </w:pPr>
      <w:r>
        <w:rPr>
          <w:rFonts w:ascii="Arial" w:hAnsi="Arial"/>
          <w:b w:val="0"/>
          <w:i w:val="0"/>
          <w:sz w:val="22"/>
        </w:rPr>
        <w:t>Non-contrast CT of the neck and chest (January 17, 2026) reported bilateral and anterior cervical gas with left pectoral collection. Sagittal CT sections (Figures 1–3) demonstrate soft tissue gas, retropharyngeal purulent collection, and inferosuperior extension of the necrotizing process from C3 to the supraclavicular region.</w:t>
      </w:r>
      <w:r>
        <w:rPr>
          <w:rFonts w:ascii="Arial" w:hAnsi="Arial"/>
          <w:b w:val="0"/>
          <w:i w:val="0"/>
          <w:sz w:val="22"/>
          <w:vertAlign w:val="superscript"/>
        </w:rPr>
        <w:t>11,23</w:t>
      </w:r>
    </w:p>
    <w:tbl>
      <w:tblPr>
        <w:tblW w:type="auto" w:w="0"/>
        <w:jc w:val="center"/>
        <w:tblLook w:firstColumn="1" w:firstRow="1" w:lastColumn="0" w:lastRow="0" w:noHBand="0" w:noVBand="1" w:val="04A0"/>
      </w:tblPr>
      <w:tblGrid>
        <w:gridCol w:w="3135"/>
        <w:gridCol w:w="3135"/>
        <w:gridCol w:w="3135"/>
      </w:tblGrid>
      <w:tr>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1812000"/>
                  <wp:docPr id="17" name="Picture 17"/>
                  <wp:cNvGraphicFramePr>
                    <a:graphicFrameLocks noChangeAspect="1"/>
                  </wp:cNvGraphicFramePr>
                  <a:graphic>
                    <a:graphicData uri="http://schemas.openxmlformats.org/drawingml/2006/picture">
                      <pic:pic>
                        <pic:nvPicPr>
                          <pic:cNvPr id="0" name="tac1_sagital_gas.jpg"/>
                          <pic:cNvPicPr/>
                        </pic:nvPicPr>
                        <pic:blipFill>
                          <a:blip r:embed="rId9"/>
                          <a:stretch>
                            <a:fillRect/>
                          </a:stretch>
                        </pic:blipFill>
                        <pic:spPr>
                          <a:xfrm>
                            <a:off x="0" y="0"/>
                            <a:ext cx="1812000" cy="1812000"/>
                          </a:xfrm>
                          <a:prstGeom prst="rect"/>
                        </pic:spPr>
                      </pic:pic>
                    </a:graphicData>
                  </a:graphic>
                </wp:inline>
              </w:drawing>
            </w:r>
          </w:p>
        </w:tc>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1812000"/>
                  <wp:docPr id="18" name="Picture 18"/>
                  <wp:cNvGraphicFramePr>
                    <a:graphicFrameLocks noChangeAspect="1"/>
                  </wp:cNvGraphicFramePr>
                  <a:graphic>
                    <a:graphicData uri="http://schemas.openxmlformats.org/drawingml/2006/picture">
                      <pic:pic>
                        <pic:nvPicPr>
                          <pic:cNvPr id="0" name="tac2_sagital_coleccion.jpg"/>
                          <pic:cNvPicPr/>
                        </pic:nvPicPr>
                        <pic:blipFill>
                          <a:blip r:embed="rId10"/>
                          <a:stretch>
                            <a:fillRect/>
                          </a:stretch>
                        </pic:blipFill>
                        <pic:spPr>
                          <a:xfrm>
                            <a:off x="0" y="0"/>
                            <a:ext cx="1812000" cy="1812000"/>
                          </a:xfrm>
                          <a:prstGeom prst="rect"/>
                        </pic:spPr>
                      </pic:pic>
                    </a:graphicData>
                  </a:graphic>
                </wp:inline>
              </w:drawing>
            </w:r>
          </w:p>
        </w:tc>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1812000"/>
                  <wp:docPr id="19" name="Picture 19"/>
                  <wp:cNvGraphicFramePr>
                    <a:graphicFrameLocks noChangeAspect="1"/>
                  </wp:cNvGraphicFramePr>
                  <a:graphic>
                    <a:graphicData uri="http://schemas.openxmlformats.org/drawingml/2006/picture">
                      <pic:pic>
                        <pic:nvPicPr>
                          <pic:cNvPr id="0" name="tac3_sagital_extension.jpg"/>
                          <pic:cNvPicPr/>
                        </pic:nvPicPr>
                        <pic:blipFill>
                          <a:blip r:embed="rId11"/>
                          <a:stretch>
                            <a:fillRect/>
                          </a:stretch>
                        </pic:blipFill>
                        <pic:spPr>
                          <a:xfrm>
                            <a:off x="0" y="0"/>
                            <a:ext cx="1812000" cy="1812000"/>
                          </a:xfrm>
                          <a:prstGeom prst="rect"/>
                        </pic:spPr>
                      </pic:pic>
                    </a:graphicData>
                  </a:graphic>
                </wp:inline>
              </w:drawing>
            </w:r>
          </w:p>
        </w:tc>
      </w:tr>
      <w:tr>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 </w:t>
            </w:r>
            <w:r>
              <w:rPr>
                <w:rFonts w:ascii="Arial" w:hAnsi="Arial"/>
                <w:i/>
                <w:color w:val="777777"/>
                <w:sz w:val="18"/>
              </w:rPr>
              <w:t>Sagittal CT (16/01/2026): retropharyngeal gas (hypodense bubbles) and cervical purulent collection. Necrotizing process with diffuse soft tissue gas — pathognomonic sign of CNF.</w:t>
            </w:r>
          </w:p>
        </w:tc>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2. </w:t>
            </w:r>
            <w:r>
              <w:rPr>
                <w:rFonts w:ascii="Arial" w:hAnsi="Arial"/>
                <w:i/>
                <w:color w:val="777777"/>
                <w:sz w:val="18"/>
              </w:rPr>
              <w:t>Sagittal CT (16/01/2026): purulent collection with multiple gas bubbles in deep cervical spaces. Extension from the retropharyngeal space toward the superior mediastinum.</w:t>
            </w:r>
          </w:p>
        </w:tc>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3. </w:t>
            </w:r>
            <w:r>
              <w:rPr>
                <w:rFonts w:ascii="Arial" w:hAnsi="Arial"/>
                <w:i/>
                <w:color w:val="777777"/>
                <w:sz w:val="18"/>
              </w:rPr>
              <w:t>Sagittal CT (16/01/2026): inferosuperior extension of the bilateral cervical necrotizing process from C3 to the supraclavicular region with involvement of the danger space.</w:t>
            </w:r>
          </w:p>
        </w:tc>
      </w:tr>
    </w:tbl>
    <w:p>
      <w:pPr>
        <w:spacing w:before="40" w:after="40"/>
      </w:pPr>
    </w:p>
    <w:p>
      <w:pPr>
        <w:pStyle w:val="Heading2"/>
        <w:spacing w:before="200" w:after="80"/>
      </w:pPr>
      <w:r>
        <w:t>3.2 Coronal plane</w:t>
      </w:r>
    </w:p>
    <w:p>
      <w:pPr>
        <w:jc w:val="both"/>
        <w:spacing w:before="80" w:after="80" w:line="276" w:lineRule="auto"/>
      </w:pPr>
      <w:r>
        <w:rPr>
          <w:rFonts w:ascii="Arial" w:hAnsi="Arial"/>
          <w:b w:val="0"/>
          <w:i w:val="0"/>
          <w:sz w:val="22"/>
        </w:rPr>
        <w:t>Coronal CT sections (Figures 4–6) show bilateral necrotizing cervical abscess, diffuse gas in the deep fascial spaces, and extension toward the superior mediastinum.</w:t>
      </w:r>
      <w:r>
        <w:rPr>
          <w:rFonts w:ascii="Arial" w:hAnsi="Arial"/>
          <w:b w:val="0"/>
          <w:i w:val="0"/>
          <w:sz w:val="22"/>
          <w:vertAlign w:val="superscript"/>
        </w:rPr>
        <w:t>11,12</w:t>
      </w:r>
    </w:p>
    <w:tbl>
      <w:tblPr>
        <w:tblW w:type="auto" w:w="0"/>
        <w:jc w:val="center"/>
        <w:tblLook w:firstColumn="1" w:firstRow="1" w:lastColumn="0" w:lastRow="0" w:noHBand="0" w:noVBand="1" w:val="04A0"/>
      </w:tblPr>
      <w:tblGrid>
        <w:gridCol w:w="3135"/>
        <w:gridCol w:w="3135"/>
        <w:gridCol w:w="3135"/>
      </w:tblGrid>
      <w:tr>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2215453"/>
                  <wp:docPr id="20" name="Picture 20"/>
                  <wp:cNvGraphicFramePr>
                    <a:graphicFrameLocks noChangeAspect="1"/>
                  </wp:cNvGraphicFramePr>
                  <a:graphic>
                    <a:graphicData uri="http://schemas.openxmlformats.org/drawingml/2006/picture">
                      <pic:pic>
                        <pic:nvPicPr>
                          <pic:cNvPr id="0" name="tac4_coronal_absceso.jpg"/>
                          <pic:cNvPicPr/>
                        </pic:nvPicPr>
                        <pic:blipFill>
                          <a:blip r:embed="rId12"/>
                          <a:stretch>
                            <a:fillRect/>
                          </a:stretch>
                        </pic:blipFill>
                        <pic:spPr>
                          <a:xfrm>
                            <a:off x="0" y="0"/>
                            <a:ext cx="1812000" cy="2215453"/>
                          </a:xfrm>
                          <a:prstGeom prst="rect"/>
                        </pic:spPr>
                      </pic:pic>
                    </a:graphicData>
                  </a:graphic>
                </wp:inline>
              </w:drawing>
            </w:r>
          </w:p>
        </w:tc>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2215453"/>
                  <wp:docPr id="21" name="Picture 21"/>
                  <wp:cNvGraphicFramePr>
                    <a:graphicFrameLocks noChangeAspect="1"/>
                  </wp:cNvGraphicFramePr>
                  <a:graphic>
                    <a:graphicData uri="http://schemas.openxmlformats.org/drawingml/2006/picture">
                      <pic:pic>
                        <pic:nvPicPr>
                          <pic:cNvPr id="0" name="tac5_coronal_gas.jpg"/>
                          <pic:cNvPicPr/>
                        </pic:nvPicPr>
                        <pic:blipFill>
                          <a:blip r:embed="rId13"/>
                          <a:stretch>
                            <a:fillRect/>
                          </a:stretch>
                        </pic:blipFill>
                        <pic:spPr>
                          <a:xfrm>
                            <a:off x="0" y="0"/>
                            <a:ext cx="1812000" cy="2215453"/>
                          </a:xfrm>
                          <a:prstGeom prst="rect"/>
                        </pic:spPr>
                      </pic:pic>
                    </a:graphicData>
                  </a:graphic>
                </wp:inline>
              </w:drawing>
            </w:r>
          </w:p>
        </w:tc>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2215453"/>
                  <wp:docPr id="22" name="Picture 22"/>
                  <wp:cNvGraphicFramePr>
                    <a:graphicFrameLocks noChangeAspect="1"/>
                  </wp:cNvGraphicFramePr>
                  <a:graphic>
                    <a:graphicData uri="http://schemas.openxmlformats.org/drawingml/2006/picture">
                      <pic:pic>
                        <pic:nvPicPr>
                          <pic:cNvPr id="0" name="tac6_coronal_espacios.jpg"/>
                          <pic:cNvPicPr/>
                        </pic:nvPicPr>
                        <pic:blipFill>
                          <a:blip r:embed="rId14"/>
                          <a:stretch>
                            <a:fillRect/>
                          </a:stretch>
                        </pic:blipFill>
                        <pic:spPr>
                          <a:xfrm>
                            <a:off x="0" y="0"/>
                            <a:ext cx="1812000" cy="2215453"/>
                          </a:xfrm>
                          <a:prstGeom prst="rect"/>
                        </pic:spPr>
                      </pic:pic>
                    </a:graphicData>
                  </a:graphic>
                </wp:inline>
              </w:drawing>
            </w:r>
          </w:p>
        </w:tc>
      </w:tr>
      <w:tr>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4. </w:t>
            </w:r>
            <w:r>
              <w:rPr>
                <w:rFonts w:ascii="Arial" w:hAnsi="Arial"/>
                <w:i/>
                <w:color w:val="777777"/>
                <w:sz w:val="18"/>
              </w:rPr>
              <w:t>Coronal CT (16/01/2026): bilateral necrotizing cervical abscess with extension to deep fascial spaces. Note gas (punctiform hypodensities) on both sides of the neck.</w:t>
            </w:r>
          </w:p>
        </w:tc>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5. </w:t>
            </w:r>
            <w:r>
              <w:rPr>
                <w:rFonts w:ascii="Arial" w:hAnsi="Arial"/>
                <w:i/>
                <w:color w:val="777777"/>
                <w:sz w:val="18"/>
              </w:rPr>
              <w:t>Coronal CT (16/01/2026): bilateral retropharyngeal gas and diffuse cervical soft tissue thickening. No laryngeal displacement. No mediastinal extension at time of study.</w:t>
            </w:r>
          </w:p>
        </w:tc>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6. </w:t>
            </w:r>
            <w:r>
              <w:rPr>
                <w:rFonts w:ascii="Arial" w:hAnsi="Arial"/>
                <w:i/>
                <w:color w:val="777777"/>
                <w:sz w:val="18"/>
              </w:rPr>
              <w:t>Coronal CT (16/01/2026): bilateral deep cervical fascial space involvement with gas and diffuse inflammatory process. Greater involvement noted on the right side.</w:t>
            </w:r>
          </w:p>
        </w:tc>
      </w:tr>
    </w:tbl>
    <w:p>
      <w:pPr>
        <w:spacing w:before="40" w:after="40"/>
      </w:pPr>
    </w:p>
    <w:p>
      <w:pPr>
        <w:pStyle w:val="Heading2"/>
        <w:spacing w:before="200" w:after="80"/>
      </w:pPr>
      <w:r>
        <w:t>3.3 Axial plane</w:t>
      </w:r>
    </w:p>
    <w:p>
      <w:pPr>
        <w:jc w:val="both"/>
        <w:spacing w:before="80" w:after="80" w:line="276" w:lineRule="auto"/>
      </w:pPr>
      <w:r>
        <w:rPr>
          <w:rFonts w:ascii="Arial" w:hAnsi="Arial"/>
          <w:b w:val="0"/>
          <w:i w:val="0"/>
          <w:sz w:val="22"/>
        </w:rPr>
        <w:t>Axial CT sections (Figures 7 and 8) show bilateral involvement of the parapharyngeal and submandibular spaces with hypodensities consistent with extrafascial gas — a pathognomonic finding of CNF.</w:t>
      </w:r>
      <w:r>
        <w:rPr>
          <w:rFonts w:ascii="Arial" w:hAnsi="Arial"/>
          <w:b w:val="0"/>
          <w:i w:val="0"/>
          <w:sz w:val="22"/>
          <w:vertAlign w:val="superscript"/>
        </w:rPr>
        <w:t>10,11,23</w:t>
      </w:r>
    </w:p>
    <w:tbl>
      <w:tblPr>
        <w:tblW w:type="auto" w:w="0"/>
        <w:jc w:val="center"/>
        <w:tblLook w:firstColumn="1" w:firstRow="1" w:lastColumn="0" w:lastRow="0" w:noHBand="0" w:noVBand="1" w:val="04A0"/>
      </w:tblPr>
      <w:tblGrid>
        <w:gridCol w:w="4703"/>
        <w:gridCol w:w="4703"/>
      </w:tblGrid>
      <w:tr>
        <w:tc>
          <w:tcPr>
            <w:tcW w:type="dxa" w:w="4535"/>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2772000" cy="3389203"/>
                  <wp:docPr id="23" name="Picture 23"/>
                  <wp:cNvGraphicFramePr>
                    <a:graphicFrameLocks noChangeAspect="1"/>
                  </wp:cNvGraphicFramePr>
                  <a:graphic>
                    <a:graphicData uri="http://schemas.openxmlformats.org/drawingml/2006/picture">
                      <pic:pic>
                        <pic:nvPicPr>
                          <pic:cNvPr id="0" name="tac7_axial_parafaringeo.jpg"/>
                          <pic:cNvPicPr/>
                        </pic:nvPicPr>
                        <pic:blipFill>
                          <a:blip r:embed="rId15"/>
                          <a:stretch>
                            <a:fillRect/>
                          </a:stretch>
                        </pic:blipFill>
                        <pic:spPr>
                          <a:xfrm>
                            <a:off x="0" y="0"/>
                            <a:ext cx="2772000" cy="3389203"/>
                          </a:xfrm>
                          <a:prstGeom prst="rect"/>
                        </pic:spPr>
                      </pic:pic>
                    </a:graphicData>
                  </a:graphic>
                </wp:inline>
              </w:drawing>
            </w:r>
          </w:p>
        </w:tc>
        <w:tc>
          <w:tcPr>
            <w:tcW w:type="dxa" w:w="4535"/>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2772000" cy="3389203"/>
                  <wp:docPr id="24" name="Picture 24"/>
                  <wp:cNvGraphicFramePr>
                    <a:graphicFrameLocks noChangeAspect="1"/>
                  </wp:cNvGraphicFramePr>
                  <a:graphic>
                    <a:graphicData uri="http://schemas.openxmlformats.org/drawingml/2006/picture">
                      <pic:pic>
                        <pic:nvPicPr>
                          <pic:cNvPr id="0" name="tac8_axial_submandibular.jpg"/>
                          <pic:cNvPicPr/>
                        </pic:nvPicPr>
                        <pic:blipFill>
                          <a:blip r:embed="rId16"/>
                          <a:stretch>
                            <a:fillRect/>
                          </a:stretch>
                        </pic:blipFill>
                        <pic:spPr>
                          <a:xfrm>
                            <a:off x="0" y="0"/>
                            <a:ext cx="2772000" cy="3389203"/>
                          </a:xfrm>
                          <a:prstGeom prst="rect"/>
                        </pic:spPr>
                      </pic:pic>
                    </a:graphicData>
                  </a:graphic>
                </wp:inline>
              </w:drawing>
            </w:r>
          </w:p>
        </w:tc>
      </w:tr>
      <w:tr>
        <w:tc>
          <w:tcPr>
            <w:tcW w:type="dxa" w:w="4703"/>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7. </w:t>
            </w:r>
            <w:r>
              <w:rPr>
                <w:rFonts w:ascii="Arial" w:hAnsi="Arial"/>
                <w:i/>
                <w:color w:val="777777"/>
                <w:sz w:val="18"/>
              </w:rPr>
              <w:t>Axial CT (16/01/2026): suprahyoid level section. Bilateral hypodensities in parapharyngeal and masticator spaces consistent with extrafascial gas, confirming the bilateral nature of CNF.</w:t>
            </w:r>
          </w:p>
        </w:tc>
        <w:tc>
          <w:tcPr>
            <w:tcW w:type="dxa" w:w="4703"/>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8. </w:t>
            </w:r>
            <w:r>
              <w:rPr>
                <w:rFonts w:ascii="Arial" w:hAnsi="Arial"/>
                <w:i/>
                <w:color w:val="777777"/>
                <w:sz w:val="18"/>
              </w:rPr>
              <w:t>Axial CT (16/01/2026): second suprahyoid section. Symmetric bilateral involvement of deep cervical fascial spaces. Bilateral distribution confirms the diagnosis of Ludwig's Angina complicated with CNF.</w:t>
            </w:r>
          </w:p>
        </w:tc>
      </w:tr>
    </w:tbl>
    <w:p>
      <w:pPr>
        <w:spacing w:before="40" w:after="40"/>
      </w:pPr>
    </w:p>
    <w:p>
      <w:pPr>
        <w:pStyle w:val="Heading2"/>
        <w:spacing w:before="200" w:after="80"/>
      </w:pPr>
      <w:r>
        <w:t>3.4 Key imaging findings</w:t>
      </w:r>
    </w:p>
    <w:p>
      <w:pPr>
        <w:jc w:val="both"/>
        <w:spacing w:before="80" w:after="80" w:line="276" w:lineRule="auto"/>
      </w:pPr>
      <w:r>
        <w:rPr>
          <w:rFonts w:ascii="Arial" w:hAnsi="Arial"/>
          <w:b w:val="0"/>
          <w:i/>
          <w:sz w:val="22"/>
        </w:rPr>
        <w:t>Official CT report (January 16, 2026): "Necrotizing abscess of the cervical region with cutaneous fistulas producing fetid purulent drainage. No laryngeal invasion or displacement observed."</w:t>
      </w:r>
    </w:p>
    <w:p>
      <w:pPr>
        <w:jc w:val="both"/>
        <w:spacing w:before="80" w:after="80" w:line="276" w:lineRule="auto"/>
      </w:pPr>
      <w:r>
        <w:rPr>
          <w:rFonts w:ascii="Arial" w:hAnsi="Arial"/>
          <w:b w:val="0"/>
          <w:i w:val="0"/>
          <w:sz w:val="22"/>
        </w:rPr>
        <w:t>Key CT findings supporting the indication for urgent debridement:</w:t>
      </w:r>
    </w:p>
    <w:p>
      <w:pPr>
        <w:pStyle w:val="ListBullet"/>
        <w:spacing w:before="60" w:after="60"/>
      </w:pPr>
      <w:r>
        <w:rPr>
          <w:rFonts w:ascii="Arial" w:hAnsi="Arial"/>
          <w:sz w:val="22"/>
        </w:rPr>
        <w:t>Soft tissue gas in multiple planes (sagittal and coronal) — pathognomonic sign of CNF.</w:t>
      </w:r>
    </w:p>
    <w:p>
      <w:pPr>
        <w:pStyle w:val="ListBullet"/>
        <w:spacing w:before="60" w:after="60"/>
      </w:pPr>
      <w:r>
        <w:rPr>
          <w:rFonts w:ascii="Arial" w:hAnsi="Arial"/>
          <w:sz w:val="22"/>
        </w:rPr>
        <w:t>Retropharyngeal purulent collection extending from C3 to the supraclavicular region.</w:t>
      </w:r>
    </w:p>
    <w:p>
      <w:pPr>
        <w:pStyle w:val="ListBullet"/>
        <w:spacing w:before="60" w:after="60"/>
      </w:pPr>
      <w:r>
        <w:rPr>
          <w:rFonts w:ascii="Arial" w:hAnsi="Arial"/>
          <w:sz w:val="22"/>
        </w:rPr>
        <w:t>Bilateral deep cervical fascial space involvement without mediastinal extension at time of study.</w:t>
      </w:r>
    </w:p>
    <w:p>
      <w:pPr>
        <w:pStyle w:val="ListBullet"/>
        <w:spacing w:before="60" w:after="60"/>
      </w:pPr>
      <w:r>
        <w:rPr>
          <w:rFonts w:ascii="Arial" w:hAnsi="Arial"/>
          <w:sz w:val="22"/>
        </w:rPr>
        <w:t>No laryngeal displacement — airway not directly compromised by the collection.</w:t>
      </w:r>
    </w:p>
    <w:p>
      <w:pPr>
        <w:pStyle w:val="Heading2"/>
        <w:spacing w:before="200" w:after="80"/>
      </w:pPr>
      <w:r>
        <w:t>3.5 Clinical photograph on HEEE admission (January 17, 2026)</w:t>
      </w:r>
    </w:p>
    <w:p>
      <w:pPr>
        <w:jc w:val="both"/>
        <w:spacing w:before="80" w:after="80" w:line="276" w:lineRule="auto"/>
      </w:pPr>
      <w:r>
        <w:rPr>
          <w:rFonts w:ascii="Arial" w:hAnsi="Arial"/>
          <w:b w:val="0"/>
          <w:i w:val="0"/>
          <w:sz w:val="22"/>
        </w:rPr>
        <w:t>Figure 9 documents the extent of cervical necrosis, the characteristic dark eschar of CNF, and the active fistulas with purulent drainage on evaluation at HEEE.</w:t>
      </w:r>
    </w:p>
    <w:p>
      <w:pPr>
        <w:jc w:val="center"/>
        <w:spacing w:before="160" w:after="40"/>
      </w:pPr>
      <w:r>
        <w:drawing>
          <wp:inline xmlns:a="http://schemas.openxmlformats.org/drawingml/2006/main" xmlns:pic="http://schemas.openxmlformats.org/drawingml/2006/picture">
            <wp:extent cx="3600000" cy="4795389"/>
            <wp:docPr id="25" name="Picture 25"/>
            <wp:cNvGraphicFramePr>
              <a:graphicFrameLocks noChangeAspect="1"/>
            </wp:cNvGraphicFramePr>
            <a:graphic>
              <a:graphicData uri="http://schemas.openxmlformats.org/drawingml/2006/picture">
                <pic:pic>
                  <pic:nvPicPr>
                    <pic:cNvPr id="0" name="fig2_preop_necrosis_jan17.jpg"/>
                    <pic:cNvPicPr/>
                  </pic:nvPicPr>
                  <pic:blipFill>
                    <a:blip r:embed="rId17"/>
                    <a:stretch>
                      <a:fillRect/>
                    </a:stretch>
                  </pic:blipFill>
                  <pic:spPr>
                    <a:xfrm>
                      <a:off x="0" y="0"/>
                      <a:ext cx="3600000" cy="4795389"/>
                    </a:xfrm>
                    <a:prstGeom prst="rect"/>
                  </pic:spPr>
                </pic:pic>
              </a:graphicData>
            </a:graphic>
          </wp:inline>
        </w:drawing>
      </w:r>
    </w:p>
    <w:p>
      <w:pPr>
        <w:jc w:val="center"/>
        <w:spacing w:before="40" w:after="200"/>
      </w:pPr>
      <w:r>
        <w:rPr>
          <w:rFonts w:ascii="Arial" w:hAnsi="Arial"/>
          <w:b/>
          <w:i/>
          <w:color w:val="777777"/>
          <w:sz w:val="20"/>
        </w:rPr>
        <w:t xml:space="preserve">Figura 9. </w:t>
      </w:r>
      <w:r>
        <w:rPr>
          <w:rFonts w:ascii="Arial" w:hAnsi="Arial"/>
          <w:i/>
          <w:color w:val="777777"/>
          <w:sz w:val="20"/>
        </w:rPr>
        <w:t>Clinical photograph on HEEE admission (January 17, 2026). Extensive tissue necrosis of anterior and lateral cervical region with dark eschar, fibrinoid tissue areas, and active cutaneous fistulas with fetid purulent drainage. Patient with nasal O₂ cannula and cervical drain. Bilateral submandibular edema.</w:t>
      </w:r>
    </w:p>
    <w:p>
      <w:r>
        <w:br w:type="page"/>
      </w:r>
    </w:p>
    <w:p>
      <w:pPr>
        <w:pStyle w:val="Heading1"/>
        <w:spacing w:before="240" w:after="120"/>
        <w:pBdr>
          <w:bottom w:val="single" w:sz="8" w:space="4" w:color="2E75B6"/>
        </w:pBdr>
      </w:pPr>
      <w:r>
        <w:t>4. MULTIDISCIPLINARY ASSESSMENT</w:t>
      </w:r>
    </w:p>
    <w:p>
      <w:pPr>
        <w:pStyle w:val="Heading2"/>
        <w:spacing w:before="200" w:after="80"/>
      </w:pPr>
      <w:r>
        <w:t>4.1 Referral and reception</w:t>
      </w:r>
    </w:p>
    <w:p>
      <w:pPr>
        <w:jc w:val="both"/>
        <w:spacing w:before="80" w:after="80" w:line="276" w:lineRule="auto"/>
      </w:pPr>
      <w:r>
        <w:rPr>
          <w:rFonts w:ascii="Arial" w:hAnsi="Arial"/>
          <w:b w:val="0"/>
          <w:i w:val="0"/>
          <w:sz w:val="22"/>
        </w:rPr>
        <w:t>Referred by Dr. Patricia Verónica Morales Cabezas (Emergency Medicine Specialist, SENESCYT: 1027-2017-1891207) from Hospital Dr. Gustavo Domínguez Zambrano to HEEE. ALS ground transfer January 16, 2026 at 07:00 h. Received by Dr. Mariuxi Báez Moreira.</w:t>
      </w:r>
    </w:p>
    <w:p>
      <w:pPr>
        <w:pStyle w:val="Heading2"/>
        <w:spacing w:before="200" w:after="80"/>
      </w:pPr>
      <w:r>
        <w:t>4.2 ORL team — HEEE</w:t>
      </w:r>
    </w:p>
    <w:p>
      <w:pPr>
        <w:jc w:val="both"/>
        <w:spacing w:before="80" w:after="80" w:line="276" w:lineRule="auto"/>
      </w:pPr>
      <w:r>
        <w:rPr>
          <w:rFonts w:ascii="Arial" w:hAnsi="Arial"/>
          <w:b w:val="0"/>
          <w:i w:val="0"/>
          <w:sz w:val="22"/>
        </w:rPr>
        <w:t>The Otorhinolaryngology Department team at HEEE evaluated the patient on admission and identified Ludwig's Angina complicated with bilateral CNF as a first-order surgical emergency requiring urgent radical debridement.</w:t>
      </w:r>
    </w:p>
    <w:p>
      <w:pPr>
        <w:pStyle w:val="Heading2"/>
        <w:spacing w:before="200" w:after="80"/>
      </w:pPr>
      <w:r>
        <w:t>4.3 Anesthesiology</w:t>
      </w:r>
    </w:p>
    <w:p>
      <w:pPr>
        <w:jc w:val="both"/>
        <w:spacing w:before="80" w:after="80" w:line="276" w:lineRule="auto"/>
      </w:pPr>
      <w:r>
        <w:rPr>
          <w:rFonts w:ascii="Arial" w:hAnsi="Arial"/>
          <w:b w:val="0"/>
          <w:i w:val="0"/>
          <w:sz w:val="22"/>
        </w:rPr>
        <w:t>Massive cervical edema and functional trismus required a predicted difficult airway protocol. Orotracheal intubation performed successfully under general anesthesia (confirmed by tracheal secretion culture, January 17, 2026). ASA classification: III.</w:t>
      </w:r>
      <w:r>
        <w:rPr>
          <w:rFonts w:ascii="Arial" w:hAnsi="Arial"/>
          <w:b w:val="0"/>
          <w:i w:val="0"/>
          <w:sz w:val="22"/>
          <w:vertAlign w:val="superscript"/>
        </w:rPr>
        <w:t>14</w:t>
      </w:r>
    </w:p>
    <w:p>
      <w:pPr>
        <w:pStyle w:val="Heading2"/>
        <w:spacing w:before="200" w:after="80"/>
      </w:pPr>
      <w:r>
        <w:t>4.4 ICU</w:t>
      </w:r>
    </w:p>
    <w:p>
      <w:pPr>
        <w:jc w:val="both"/>
        <w:spacing w:before="80" w:after="80" w:line="276" w:lineRule="auto"/>
      </w:pPr>
      <w:r>
        <w:rPr>
          <w:rFonts w:ascii="Arial" w:hAnsi="Arial"/>
          <w:b w:val="0"/>
          <w:i w:val="0"/>
          <w:sz w:val="22"/>
        </w:rPr>
        <w:t>Postoperative ICU admission (Floor 1, HEEE) on January 17, 2026 at 23:48 h (Dr. Soraya Acaro) for continuous monitoring, metabolic support, and IV insulin therapy (perioperative target: 140–180 mg/dL).</w:t>
      </w:r>
    </w:p>
    <w:p>
      <w:pPr>
        <w:pStyle w:val="Heading2"/>
        <w:spacing w:before="200" w:after="80"/>
      </w:pPr>
      <w:r>
        <w:t>4.5 Infectious Disease</w:t>
      </w:r>
    </w:p>
    <w:p>
      <w:pPr>
        <w:jc w:val="both"/>
        <w:spacing w:before="80" w:after="80" w:line="276" w:lineRule="auto"/>
      </w:pPr>
      <w:r>
        <w:rPr>
          <w:rFonts w:ascii="Arial" w:hAnsi="Arial"/>
          <w:b w:val="0"/>
          <w:i w:val="0"/>
          <w:sz w:val="22"/>
        </w:rPr>
        <w:t xml:space="preserve">Antibiotic adjustment at 48–72 h: meropenem established as definitive therapy upon confirmation of ESBL-producing </w:t>
      </w:r>
      <w:r>
        <w:rPr>
          <w:rFonts w:ascii="Arial" w:hAnsi="Arial"/>
          <w:b w:val="0"/>
          <w:i/>
          <w:sz w:val="22"/>
        </w:rPr>
        <w:t>K. pneumoniae</w:t>
      </w:r>
      <w:r>
        <w:rPr>
          <w:rFonts w:ascii="Arial" w:hAnsi="Arial"/>
          <w:b w:val="0"/>
          <w:i w:val="0"/>
          <w:sz w:val="22"/>
        </w:rPr>
        <w:t xml:space="preserve"> and ESBL </w:t>
      </w:r>
      <w:r>
        <w:rPr>
          <w:rFonts w:ascii="Arial" w:hAnsi="Arial"/>
          <w:b w:val="0"/>
          <w:i/>
          <w:sz w:val="22"/>
        </w:rPr>
        <w:t>E. coli</w:t>
      </w:r>
      <w:r>
        <w:rPr>
          <w:rFonts w:ascii="Arial" w:hAnsi="Arial"/>
          <w:b w:val="0"/>
          <w:i w:val="0"/>
          <w:sz w:val="22"/>
        </w:rPr>
        <w:t xml:space="preserve"> with MIC ≤0.25 µg/mL — the only active option against both ESBL isolates.</w:t>
      </w:r>
      <w:r>
        <w:rPr>
          <w:rFonts w:ascii="Arial" w:hAnsi="Arial"/>
          <w:b w:val="0"/>
          <w:i w:val="0"/>
          <w:sz w:val="22"/>
          <w:vertAlign w:val="superscript"/>
        </w:rPr>
        <w:t>8,9</w:t>
      </w:r>
    </w:p>
    <w:p>
      <w:pPr>
        <w:pStyle w:val="Heading2"/>
        <w:spacing w:before="200" w:after="80"/>
      </w:pPr>
      <w:r>
        <w:t>4.6 Plastic Surgery</w:t>
      </w:r>
    </w:p>
    <w:p>
      <w:pPr>
        <w:jc w:val="both"/>
        <w:spacing w:before="80" w:after="80" w:line="276" w:lineRule="auto"/>
      </w:pPr>
      <w:r>
        <w:rPr>
          <w:rFonts w:ascii="Arial" w:hAnsi="Arial"/>
          <w:b w:val="0"/>
          <w:i w:val="0"/>
          <w:sz w:val="22"/>
        </w:rPr>
        <w:t>February 16, 2026 (~POD 29), with normalized inflammatory parameters (WBC 5.97 ×10³/µL, Na 138 mEq/L), transfer to Plastic Surgery (Dr. Juan Gutiérrez, Floor 3, HEEE) for reconstructive management of the residual cervical defect.</w:t>
      </w:r>
    </w:p>
    <w:p>
      <w:r>
        <w:br w:type="page"/>
      </w:r>
    </w:p>
    <w:p>
      <w:pPr>
        <w:pStyle w:val="Heading1"/>
        <w:spacing w:before="240" w:after="120"/>
        <w:pBdr>
          <w:bottom w:val="single" w:sz="8" w:space="4" w:color="2E75B6"/>
        </w:pBdr>
      </w:pPr>
      <w:r>
        <w:t>5. SURGICAL MANAGEMENT</w:t>
      </w:r>
    </w:p>
    <w:p>
      <w:pPr>
        <w:pStyle w:val="Heading2"/>
        <w:spacing w:before="200" w:after="80"/>
      </w:pPr>
      <w:r>
        <w:t>5.1 Preoperative preparation</w:t>
      </w:r>
    </w:p>
    <w:p>
      <w:pPr>
        <w:pStyle w:val="ListBullet"/>
        <w:spacing w:before="60" w:after="60"/>
      </w:pPr>
      <w:r>
        <w:rPr>
          <w:rFonts w:ascii="Arial" w:hAnsi="Arial"/>
          <w:sz w:val="22"/>
        </w:rPr>
        <w:t>IV fluid resuscitation. Correction of hyponatremia (Na 126.9 mEq/L) and hypokalemia (K 2.9 mEq/L).</w:t>
      </w:r>
    </w:p>
    <w:p>
      <w:pPr>
        <w:pStyle w:val="ListBullet"/>
        <w:spacing w:before="60" w:after="60"/>
      </w:pPr>
      <w:r>
        <w:rPr>
          <w:rFonts w:ascii="Arial" w:hAnsi="Arial"/>
          <w:sz w:val="22"/>
        </w:rPr>
        <w:t>Empirical broad-spectrum IV antibiotherapy (beta-lactam + metronidazole) pending cultures.</w:t>
      </w:r>
    </w:p>
    <w:p>
      <w:pPr>
        <w:pStyle w:val="ListBullet"/>
        <w:spacing w:before="60" w:after="60"/>
      </w:pPr>
      <w:r>
        <w:rPr>
          <w:rFonts w:ascii="Arial" w:hAnsi="Arial"/>
          <w:sz w:val="22"/>
        </w:rPr>
        <w:t>IV insulin therapy (target 140–180 mg/dL). Request for 2 units packed RBCs (Hb 8.2–8.9 g/dL).</w:t>
      </w:r>
    </w:p>
    <w:p>
      <w:pPr>
        <w:pStyle w:val="ListBullet"/>
        <w:spacing w:before="60" w:after="60"/>
      </w:pPr>
      <w:r>
        <w:rPr>
          <w:rFonts w:ascii="Arial" w:hAnsi="Arial"/>
          <w:sz w:val="22"/>
        </w:rPr>
        <w:t>Signed surgical and anesthetic informed consent. ASA classification: III.</w:t>
      </w:r>
    </w:p>
    <w:p>
      <w:pPr>
        <w:pStyle w:val="Heading2"/>
        <w:spacing w:before="200" w:after="80"/>
      </w:pPr>
      <w:r>
        <w:t>5.2 Surgical technique — Radical cervical debridement</w:t>
      </w:r>
    </w:p>
    <w:p>
      <w:pPr>
        <w:jc w:val="both"/>
        <w:spacing w:before="80" w:after="80" w:line="276" w:lineRule="auto"/>
      </w:pPr>
      <w:r>
        <w:rPr>
          <w:rFonts w:ascii="Arial" w:hAnsi="Arial"/>
          <w:b/>
          <w:i w:val="0"/>
          <w:sz w:val="22"/>
        </w:rPr>
        <w:t xml:space="preserve">Date: </w:t>
      </w:r>
      <w:r>
        <w:rPr>
          <w:rFonts w:ascii="Arial" w:hAnsi="Arial"/>
          <w:b w:val="0"/>
          <w:i w:val="0"/>
          <w:sz w:val="22"/>
        </w:rPr>
        <w:t>January 17, 2026 (20:20–22:20 h).</w:t>
      </w:r>
    </w:p>
    <w:p>
      <w:pPr>
        <w:jc w:val="both"/>
        <w:spacing w:before="80" w:after="80" w:line="276" w:lineRule="auto"/>
      </w:pPr>
      <w:r>
        <w:rPr>
          <w:rFonts w:ascii="Arial" w:hAnsi="Arial"/>
          <w:b/>
          <w:i w:val="0"/>
          <w:sz w:val="22"/>
        </w:rPr>
        <w:t xml:space="preserve">Lead surgeon: </w:t>
      </w:r>
      <w:r>
        <w:rPr>
          <w:rFonts w:ascii="Arial" w:hAnsi="Arial"/>
          <w:b w:val="0"/>
          <w:i w:val="0"/>
          <w:sz w:val="22"/>
        </w:rPr>
        <w:t>Dr. Christian Alfonso Freire Zamora, MD, ORL Specialist — Head of ORL Department, HEEE.</w:t>
      </w:r>
    </w:p>
    <w:p>
      <w:pPr>
        <w:jc w:val="both"/>
        <w:spacing w:before="80" w:after="80" w:line="276" w:lineRule="auto"/>
      </w:pPr>
      <w:r>
        <w:rPr>
          <w:rFonts w:ascii="Arial" w:hAnsi="Arial"/>
          <w:b/>
          <w:i w:val="0"/>
          <w:sz w:val="22"/>
        </w:rPr>
        <w:t xml:space="preserve">Approach: </w:t>
      </w:r>
      <w:r>
        <w:rPr>
          <w:rFonts w:ascii="Arial" w:hAnsi="Arial"/>
          <w:b w:val="0"/>
          <w:i w:val="0"/>
          <w:sz w:val="22"/>
        </w:rPr>
        <w:t>Bilateral radical cervical debridement under general anesthesia with orotracheal intubation. The necrotizing nature required radical excision of all devitalized tissue.</w:t>
      </w:r>
      <w:r>
        <w:rPr>
          <w:rFonts w:ascii="Arial" w:hAnsi="Arial"/>
          <w:b w:val="0"/>
          <w:i w:val="0"/>
          <w:sz w:val="22"/>
          <w:vertAlign w:val="superscript"/>
        </w:rPr>
        <w:t>9,10</w:t>
      </w:r>
    </w:p>
    <w:p>
      <w:pPr>
        <w:jc w:val="both"/>
        <w:spacing w:before="80" w:after="80" w:line="276" w:lineRule="auto"/>
      </w:pPr>
      <w:r>
        <w:rPr>
          <w:rFonts w:ascii="Arial" w:hAnsi="Arial"/>
          <w:b w:val="0"/>
          <w:i w:val="0"/>
          <w:sz w:val="22"/>
        </w:rPr>
        <w:t>Procedure description:</w:t>
      </w:r>
    </w:p>
    <w:p>
      <w:pPr>
        <w:pStyle w:val="ListNumber"/>
        <w:spacing w:before="60" w:after="60"/>
      </w:pPr>
      <w:r>
        <w:rPr>
          <w:rFonts w:ascii="Arial" w:hAnsi="Arial"/>
          <w:sz w:val="22"/>
        </w:rPr>
        <w:t>General anesthesia with orotracheal intubation (OTI) under predicted difficult airway protocol.</w:t>
      </w:r>
    </w:p>
    <w:p>
      <w:pPr>
        <w:pStyle w:val="ListNumber"/>
        <w:spacing w:before="60" w:after="60"/>
      </w:pPr>
      <w:r>
        <w:rPr>
          <w:rFonts w:ascii="Arial" w:hAnsi="Arial"/>
          <w:sz w:val="22"/>
        </w:rPr>
        <w:t>Necrosis margin demarcation. Bilateral extent involving anterior, lateral, and submandibular cervical region.</w:t>
      </w:r>
    </w:p>
    <w:p>
      <w:pPr>
        <w:pStyle w:val="ListNumber"/>
        <w:spacing w:before="60" w:after="60"/>
      </w:pPr>
      <w:r>
        <w:rPr>
          <w:rFonts w:ascii="Arial" w:hAnsi="Arial"/>
          <w:sz w:val="22"/>
        </w:rPr>
        <w:t>Cervical incisions with excision of necrotic eschar and devitalized fibrinoid tissue.</w:t>
      </w:r>
    </w:p>
    <w:p>
      <w:pPr>
        <w:pStyle w:val="ListNumber"/>
        <w:spacing w:before="60" w:after="60"/>
      </w:pPr>
      <w:r>
        <w:rPr>
          <w:rFonts w:ascii="Arial" w:hAnsi="Arial"/>
          <w:sz w:val="22"/>
        </w:rPr>
        <w:t>Blunt and sharp debridement to healthy bleeding tissue.</w:t>
      </w:r>
    </w:p>
    <w:p>
      <w:pPr>
        <w:pStyle w:val="ListNumber"/>
        <w:spacing w:before="60" w:after="60"/>
      </w:pPr>
      <w:r>
        <w:rPr>
          <w:rFonts w:ascii="Arial" w:hAnsi="Arial"/>
          <w:sz w:val="22"/>
        </w:rPr>
        <w:t>Evacuation of fetid purulent material. Samples sent for aerobic, anaerobic, fungal cultures and antibiogram.</w:t>
      </w:r>
    </w:p>
    <w:p>
      <w:pPr>
        <w:pStyle w:val="ListNumber"/>
        <w:spacing w:before="60" w:after="60"/>
      </w:pPr>
      <w:r>
        <w:rPr>
          <w:rFonts w:ascii="Arial" w:hAnsi="Arial"/>
          <w:sz w:val="22"/>
        </w:rPr>
        <w:t>Thorough irrigation with warm 0.9% normal saline until clean return.</w:t>
      </w:r>
    </w:p>
    <w:p>
      <w:pPr>
        <w:pStyle w:val="ListNumber"/>
        <w:spacing w:before="60" w:after="60"/>
      </w:pPr>
      <w:r>
        <w:rPr>
          <w:rFonts w:ascii="Arial" w:hAnsi="Arial"/>
          <w:sz w:val="22"/>
        </w:rPr>
        <w:t>Penrose drains placed through counter-incisions. Open wound — no primary closure.</w:t>
      </w:r>
    </w:p>
    <w:p>
      <w:pPr>
        <w:jc w:val="both"/>
        <w:spacing w:before="80" w:after="80" w:line="276" w:lineRule="auto"/>
      </w:pPr>
      <w:r>
        <w:rPr>
          <w:rFonts w:ascii="Arial" w:hAnsi="Arial"/>
          <w:b/>
          <w:i w:val="0"/>
          <w:sz w:val="22"/>
        </w:rPr>
        <w:t xml:space="preserve">Intraoperative data: </w:t>
      </w:r>
      <w:r>
        <w:rPr>
          <w:rFonts w:ascii="Arial" w:hAnsi="Arial"/>
          <w:b w:val="0"/>
          <w:i w:val="0"/>
          <w:sz w:val="22"/>
        </w:rPr>
        <w:t>Procedure duration: 3 hours 10 minutes. Estimated blood loss: ~200 mL. Purulent fluid evacuated: ~350 mL. Intubation technique: not documented in the anesthetic protocol.</w:t>
      </w:r>
    </w:p>
    <w:p>
      <w:pPr>
        <w:jc w:val="both"/>
        <w:spacing w:before="80" w:after="80" w:line="276" w:lineRule="auto"/>
      </w:pPr>
      <w:r>
        <w:rPr>
          <w:rFonts w:ascii="Arial" w:hAnsi="Arial"/>
          <w:b w:val="0"/>
          <w:i w:val="0"/>
          <w:sz w:val="22"/>
        </w:rPr>
        <w:t>Figures 10 and 11 document the intraoperative surgical field.</w:t>
      </w:r>
    </w:p>
    <w:tbl>
      <w:tblPr>
        <w:tblW w:type="auto" w:w="0"/>
        <w:jc w:val="center"/>
        <w:tblLook w:firstColumn="1" w:firstRow="1" w:lastColumn="0" w:lastRow="0" w:noHBand="0" w:noVBand="1" w:val="04A0"/>
      </w:tblPr>
      <w:tblGrid>
        <w:gridCol w:w="4703"/>
        <w:gridCol w:w="4703"/>
      </w:tblGrid>
      <w:tr>
        <w:tc>
          <w:tcPr>
            <w:tcW w:type="dxa" w:w="4535"/>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2772000" cy="1247400"/>
                  <wp:docPr id="26" name="Picture 26"/>
                  <wp:cNvGraphicFramePr>
                    <a:graphicFrameLocks noChangeAspect="1"/>
                  </wp:cNvGraphicFramePr>
                  <a:graphic>
                    <a:graphicData uri="http://schemas.openxmlformats.org/drawingml/2006/picture">
                      <pic:pic>
                        <pic:nvPicPr>
                          <pic:cNvPr id="0" name="fig3a_intraop_desbrid_jan18.jpg"/>
                          <pic:cNvPicPr/>
                        </pic:nvPicPr>
                        <pic:blipFill>
                          <a:blip r:embed="rId18"/>
                          <a:stretch>
                            <a:fillRect/>
                          </a:stretch>
                        </pic:blipFill>
                        <pic:spPr>
                          <a:xfrm>
                            <a:off x="0" y="0"/>
                            <a:ext cx="2772000" cy="1247400"/>
                          </a:xfrm>
                          <a:prstGeom prst="rect"/>
                        </pic:spPr>
                      </pic:pic>
                    </a:graphicData>
                  </a:graphic>
                </wp:inline>
              </w:drawing>
            </w:r>
          </w:p>
        </w:tc>
        <w:tc>
          <w:tcPr>
            <w:tcW w:type="dxa" w:w="4535"/>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2772000" cy="1247400"/>
                  <wp:docPr id="27" name="Picture 27"/>
                  <wp:cNvGraphicFramePr>
                    <a:graphicFrameLocks noChangeAspect="1"/>
                  </wp:cNvGraphicFramePr>
                  <a:graphic>
                    <a:graphicData uri="http://schemas.openxmlformats.org/drawingml/2006/picture">
                      <pic:pic>
                        <pic:nvPicPr>
                          <pic:cNvPr id="0" name="fig3b_intraop_diseccion_jan18.jpg"/>
                          <pic:cNvPicPr/>
                        </pic:nvPicPr>
                        <pic:blipFill>
                          <a:blip r:embed="rId19"/>
                          <a:stretch>
                            <a:fillRect/>
                          </a:stretch>
                        </pic:blipFill>
                        <pic:spPr>
                          <a:xfrm>
                            <a:off x="0" y="0"/>
                            <a:ext cx="2772000" cy="1247400"/>
                          </a:xfrm>
                          <a:prstGeom prst="rect"/>
                        </pic:spPr>
                      </pic:pic>
                    </a:graphicData>
                  </a:graphic>
                </wp:inline>
              </w:drawing>
            </w:r>
          </w:p>
        </w:tc>
      </w:tr>
      <w:tr>
        <w:tc>
          <w:tcPr>
            <w:tcW w:type="dxa" w:w="4703"/>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10. </w:t>
            </w:r>
            <w:r>
              <w:rPr>
                <w:rFonts w:ascii="Arial" w:hAnsi="Arial"/>
                <w:i/>
                <w:color w:val="777777"/>
                <w:sz w:val="18"/>
              </w:rPr>
              <w:t>Intraoperative debridement (January 17, 2026): bilateral cervical surgical field with retractors. Necrotic and fibrinoid tissue in excision with active bleeding from viable tissue. Surgeon: Dr. Christian Alfonso Freire Zamora. ORL Department, HEEE.</w:t>
            </w:r>
          </w:p>
        </w:tc>
        <w:tc>
          <w:tcPr>
            <w:tcW w:type="dxa" w:w="4703"/>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11. </w:t>
            </w:r>
            <w:r>
              <w:rPr>
                <w:rFonts w:ascii="Arial" w:hAnsi="Arial"/>
                <w:i/>
                <w:color w:val="777777"/>
                <w:sz w:val="18"/>
              </w:rPr>
              <w:t>Intraoperative dissection (January 17, 2026): exposure of deep cervical fascial planes. Structures of the anterior cervical triangle visible after radical debridement.</w:t>
            </w:r>
          </w:p>
        </w:tc>
      </w:tr>
    </w:tbl>
    <w:p>
      <w:pPr>
        <w:spacing w:before="40" w:after="40"/>
      </w:pPr>
    </w:p>
    <w:p>
      <w:r>
        <w:br w:type="page"/>
      </w:r>
    </w:p>
    <w:p>
      <w:pPr>
        <w:pStyle w:val="Heading2"/>
        <w:spacing w:before="200" w:after="80"/>
      </w:pPr>
      <w:r>
        <w:t>5.3 Subsequent surgical procedures</w:t>
      </w:r>
    </w:p>
    <w:p>
      <w:pPr>
        <w:jc w:val="both"/>
        <w:spacing w:before="80" w:after="80" w:line="276" w:lineRule="auto"/>
      </w:pPr>
      <w:r>
        <w:rPr>
          <w:rFonts w:ascii="Arial" w:hAnsi="Arial"/>
          <w:b w:val="0"/>
          <w:i w:val="0"/>
          <w:sz w:val="22"/>
        </w:rPr>
        <w:t>Three additional surgical procedures were performed under general anesthesia during hospitalization, documented in the HEEE medical record (HC 0802060905):</w:t>
      </w:r>
    </w:p>
    <w:p>
      <w:pPr>
        <w:jc w:val="left"/>
        <w:spacing w:before="200" w:after="80"/>
      </w:pPr>
      <w:r>
        <w:rPr>
          <w:rFonts w:ascii="Arial" w:hAnsi="Arial"/>
          <w:b/>
          <w:color w:val="1F3864"/>
          <w:sz w:val="22"/>
        </w:rPr>
        <w:t xml:space="preserve">Cuadro 4. </w:t>
      </w:r>
      <w:r>
        <w:rPr>
          <w:rFonts w:ascii="Arial" w:hAnsi="Arial"/>
          <w:sz w:val="22"/>
        </w:rPr>
        <w:t>Surgical procedures during hospitalization — HEEE, January 2026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Date / POD</w:t>
            </w:r>
          </w:p>
        </w:tc>
        <w:tc>
          <w:tcPr>
            <w:tcW w:type="dxa" w:w="2835"/>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Procedure</w:t>
            </w:r>
          </w:p>
        </w:tc>
        <w:tc>
          <w:tcPr>
            <w:tcW w:type="dxa" w:w="3402"/>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Surgical findings</w:t>
            </w:r>
          </w:p>
        </w:tc>
        <w:tc>
          <w:tcPr>
            <w:tcW w:type="dxa" w:w="170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Department / Surgeon</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17/01/2026 (POD 0)</w:t>
              <w:br/>
              <w:t>20:20–22:20 h</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Wide cervicotomy + deep neck abscess drainage + deep neck debridement + necrotic tissue debridement anterior cervical region + tracheotomy</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 Abundant slough in cervical region (~80 g)</w:t>
              <w:br/>
              <w:t>• CNF anterior cervical region</w:t>
              <w:br/>
              <w:t>• Fetid greenish purulent fluid ~150 mL</w:t>
              <w:br/>
              <w:t>• Left pectoral collection ~40 mL</w:t>
              <w:br/>
              <w:t>• Trachea lateralized to the left</w:t>
              <w:br/>
              <w:t>• Thyroid gland inferiorly displaced</w:t>
              <w:br/>
              <w:t>• Blood loss: ~200 mL. Purulent fluid + slough: ~350 mL</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ORL / Dr. Christian Alfonso Freire Zamora</w:t>
              <w:br/>
              <w:t>Assistants: MD Cárdenas, MD León</w:t>
              <w:br/>
              <w:t>Anesthesiology: Dr. Vásquez</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21/01/2026 (POD 4)</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Deep neck debridement + slough debridement anterior cervical region + tissue culture</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 Scant slough in anterior cervical region</w:t>
              <w:br/>
              <w:t>• No necrotic tissue</w:t>
              <w:br/>
              <w:t>• Scant seropurulent secretion</w:t>
              <w:br/>
              <w:t>• Tracheotomy in situ, patent</w:t>
              <w:br/>
              <w:t>• Left pectoral abscess with edema and erythema</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Plastic Surgery</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27/01/2026 (POD 10)</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Surgical debridement + limited debridement + partial wound plasty of neck and anterior chest</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 Anterior cervical wound: no necrotic tissue, scant slough, no purulent discharge</w:t>
              <w:br/>
              <w:t>• Tracheotomy in situ, functional</w:t>
              <w:br/>
              <w:t>• Stoma without signs of infection</w:t>
              <w:br/>
              <w:t>• Anterior chest: raw area with moderate granulation tissue, 10 cm posterior pockets</w:t>
              <w:br/>
              <w:t>• Left chest: wound with pectoral major muscle exposure</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Plastic Surgery</w:t>
            </w:r>
          </w:p>
        </w:tc>
      </w:tr>
    </w:tbl>
    <w:p>
      <w:pPr>
        <w:spacing w:before="40" w:after="40"/>
      </w:pPr>
    </w:p>
    <w:p>
      <w:r>
        <w:br w:type="page"/>
      </w:r>
    </w:p>
    <w:p>
      <w:pPr>
        <w:pStyle w:val="Heading1"/>
        <w:spacing w:before="240" w:after="120"/>
        <w:pBdr>
          <w:bottom w:val="single" w:sz="8" w:space="4" w:color="2E75B6"/>
        </w:pBdr>
      </w:pPr>
      <w:r>
        <w:t>6. POSTOPERATIVE COURSE</w:t>
      </w:r>
    </w:p>
    <w:p>
      <w:pPr>
        <w:pStyle w:val="Heading2"/>
        <w:spacing w:before="200" w:after="80"/>
      </w:pPr>
      <w:r>
        <w:t>6.1 Definitive microbiological results</w:t>
      </w:r>
    </w:p>
    <w:p>
      <w:pPr>
        <w:jc w:val="left"/>
        <w:spacing w:before="200" w:after="80"/>
      </w:pPr>
      <w:r>
        <w:rPr>
          <w:rFonts w:ascii="Arial" w:hAnsi="Arial"/>
          <w:b/>
          <w:color w:val="1F3864"/>
          <w:sz w:val="22"/>
        </w:rPr>
        <w:t xml:space="preserve">Cuadro 5. </w:t>
      </w:r>
      <w:r>
        <w:rPr>
          <w:rFonts w:ascii="Arial" w:hAnsi="Arial"/>
          <w:sz w:val="22"/>
        </w:rPr>
        <w:t>Definitive microbiological results — HEEE Microbiology Laboratory (January–February 2026)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Sample (date)</w:t>
            </w:r>
          </w:p>
        </w:tc>
        <w:tc>
          <w:tcPr>
            <w:tcW w:type="dxa" w:w="2835"/>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Isolated organism</w:t>
            </w:r>
          </w:p>
        </w:tc>
        <w:tc>
          <w:tcPr>
            <w:tcW w:type="dxa" w:w="255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Sensitive to</w:t>
            </w:r>
          </w:p>
        </w:tc>
        <w:tc>
          <w:tcPr>
            <w:tcW w:type="dxa" w:w="226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Resistant to</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Right neck wound swab (17/01/2026)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i/>
                <w:color w:val="CC0000"/>
                <w:sz w:val="20"/>
              </w:rPr>
              <w:t>Klebsiella pneumoniae ss. pneumoniae ESBL-producing</w:t>
            </w:r>
            <w:r>
              <w:rPr>
                <w:rFonts w:ascii="Arial" w:hAnsi="Arial"/>
                <w:b w:val="0"/>
                <w:i w:val="0"/>
                <w:sz w:val="20"/>
              </w:rPr>
              <w:t xml:space="preserve"> + </w:t>
            </w:r>
            <w:r>
              <w:rPr>
                <w:rFonts w:ascii="Arial" w:hAnsi="Arial"/>
                <w:b w:val="0"/>
                <w:i/>
                <w:sz w:val="20"/>
              </w:rPr>
              <w:t>Candida tropicalis</w:t>
            </w:r>
            <w:r>
              <w:rPr>
                <w:rFonts w:ascii="Arial" w:hAnsi="Arial"/>
                <w:b w:val="0"/>
                <w:i w:val="0"/>
                <w:sz w:val="20"/>
              </w:rPr>
              <w:t xml:space="preserve"> (concomitant isolate, fungal culture 17/01/2026)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Amikacin (MIC ≤1), Gentamicin, Imipenem, Meropenem (MIC ≤0.25)</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Amp/Sulbactam (MIC ≥32), Cefepime, Ceftriaxone (MIC ≥64), Ciprofloxacin, Pip/Tazo, TMP/SMX</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Neck wound swab — fungal culture (19/01/2026)</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sz w:val="20"/>
              </w:rPr>
              <w:t>Candida tropicalis</w:t>
            </w:r>
            <w:r>
              <w:rPr>
                <w:rFonts w:ascii="Arial" w:hAnsi="Arial"/>
                <w:b w:val="0"/>
                <w:i w:val="0"/>
                <w:sz w:val="20"/>
              </w:rPr>
              <w:t xml:space="preserve"> + </w:t>
            </w:r>
            <w:r>
              <w:rPr>
                <w:rFonts w:ascii="Arial" w:hAnsi="Arial"/>
                <w:b w:val="0"/>
                <w:i/>
                <w:sz w:val="20"/>
              </w:rPr>
              <w:t>Candida parapsilosis</w:t>
            </w:r>
            <w:r>
              <w:rPr>
                <w:rFonts w:ascii="Arial" w:hAnsi="Arial"/>
                <w:b w:val="0"/>
                <w:i w:val="0"/>
                <w:sz w:val="20"/>
              </w:rPr>
              <w:t xml:space="preserve"> — both species confirmed. No antifungal susceptibility testing performed.</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No antifungal susceptibility performed</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Necrotic neck tissue (18/01/2026)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sz w:val="20"/>
              </w:rPr>
              <w:t>Klebsiella pneumoniae ESBL</w:t>
            </w:r>
            <w:r>
              <w:rPr>
                <w:rFonts w:ascii="Arial" w:hAnsi="Arial"/>
                <w:b w:val="0"/>
                <w:i w:val="0"/>
                <w:sz w:val="20"/>
              </w:rPr>
              <w:t xml:space="preserve"> (2nd confirmation)</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Meropenem, Imipenem, Amikacin, Gentamicin</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Same ESBL profile</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Neck secretion — 2nd sample (18/01/2026)</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sz w:val="20"/>
              </w:rPr>
              <w:t>E. coli ESBL + K. pneumoniae ESBL</w:t>
            </w:r>
            <w:r>
              <w:rPr>
                <w:rFonts w:ascii="Arial" w:hAnsi="Arial"/>
                <w:b w:val="0"/>
                <w:i w:val="0"/>
                <w:sz w:val="20"/>
              </w:rPr>
              <w:t xml:space="preserve"> (polymicrobial)</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Amikacin (S), Gentamicin (S), Imipenem (MIC ≤1), Meropenem (MIC ≤1)</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Amp/Sulbactam, Cefepime, Ceftriaxone, Pip/Tazo, TMP/SMX</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Tracheal secretion (18/01/2026)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No bacterial growth</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Blood cultures ×4 sets (18/01/2026)</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NO BACTERIAL GROWTH — bacteremia ruled out</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Rectal swab surveillance (17/01/2026)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NEGATIVE for carbapenem-resistant organisms (no KPC/MBL)</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Urine culture — catheter (17/01/2026)</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No bacterial growth</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Urine — candiduria (04/02/2026)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sz w:val="20"/>
              </w:rPr>
              <w:t>Candida spp.</w:t>
            </w:r>
            <w:r>
              <w:rPr>
                <w:rFonts w:ascii="Arial" w:hAnsi="Arial"/>
                <w:b w:val="0"/>
                <w:i w:val="0"/>
                <w:sz w:val="20"/>
              </w:rPr>
              <w:t xml:space="preserve"> — Yeast +++ / Hyphae +++ (nosocomial candiduria, POD 17). Species not identified.</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Antifungal susceptibility not performed</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bl>
    <w:p>
      <w:pPr>
        <w:spacing w:before="40" w:after="40"/>
      </w:pPr>
    </w:p>
    <w:p>
      <w:pPr>
        <w:pStyle w:val="Heading2"/>
        <w:spacing w:before="200" w:after="80"/>
      </w:pPr>
      <w:r>
        <w:t>6.2 Definitive antibiotic therapy</w:t>
      </w:r>
    </w:p>
    <w:p>
      <w:pPr>
        <w:jc w:val="left"/>
        <w:spacing w:before="200" w:after="80"/>
      </w:pPr>
      <w:r>
        <w:rPr>
          <w:rFonts w:ascii="Arial" w:hAnsi="Arial"/>
          <w:b/>
          <w:color w:val="1F3864"/>
          <w:sz w:val="22"/>
        </w:rPr>
        <w:t xml:space="preserve">Cuadro 6. </w:t>
      </w:r>
      <w:r>
        <w:rPr>
          <w:rFonts w:ascii="Arial" w:hAnsi="Arial"/>
          <w:sz w:val="22"/>
        </w:rPr>
        <w:t>Antibiotic regimen during hospitalization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Period</w:t>
            </w:r>
          </w:p>
        </w:tc>
        <w:tc>
          <w:tcPr>
            <w:tcW w:type="dxa" w:w="311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Drug</w:t>
            </w:r>
          </w:p>
        </w:tc>
        <w:tc>
          <w:tcPr>
            <w:tcW w:type="dxa" w:w="2835"/>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Rationale</w:t>
            </w:r>
          </w:p>
        </w:tc>
        <w:tc>
          <w:tcPr>
            <w:tcW w:type="dxa" w:w="226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Duration</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Empirical (from 17/01/2026)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Meropenem 1 g q8h IV + Vancomycin 1 g q12h IV (from 17/01/2026)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Empirical: Meropenem for ESBL gram-negatives; Vancomycin for gram-positive cocci. Initiated from ORL emergency on 17/01/2026.</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Meropenem: continued indefinitely (definitive). Vancomycin: 14 doses (~until 24/01/2026)</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Definitive (from 19/01)</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i w:val="0"/>
                <w:sz w:val="20"/>
              </w:rPr>
              <w:t>Meropenem 1 g q8h IV</w:t>
            </w:r>
            <w:r>
              <w:rPr>
                <w:rFonts w:ascii="Arial" w:hAnsi="Arial"/>
                <w:b w:val="0"/>
                <w:i w:val="0"/>
                <w:sz w:val="20"/>
              </w:rPr>
              <w:t xml:space="preserve"> — only active agent vs ESBL K. pneumoniae and E. coli (MIC ≤0.25)</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First-line carbapenem for ESBL Enterobacteriaceae. Complete resistance to cephalosporins and beta-lactams.</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14–21 days IV</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Antifungal (from 20/01/2026 — POD 3)</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Fluconazole 150 mg IV q24h</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Nosocomial candiduria (POD 17) + Candida in cervical wound. Fluconazole as first-line azole antifungal.</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14 days</w:t>
            </w:r>
          </w:p>
        </w:tc>
      </w:tr>
    </w:tbl>
    <w:p>
      <w:pPr>
        <w:spacing w:before="40" w:after="40"/>
      </w:pPr>
    </w:p>
    <w:p>
      <w:pPr>
        <w:pStyle w:val="Heading2"/>
        <w:spacing w:before="200" w:after="80"/>
      </w:pPr>
      <w:r>
        <w:t>6.3 Laboratory evolution</w:t>
      </w:r>
    </w:p>
    <w:p>
      <w:pPr>
        <w:jc w:val="left"/>
        <w:spacing w:before="200" w:after="80"/>
      </w:pPr>
      <w:r>
        <w:rPr>
          <w:rFonts w:ascii="Arial" w:hAnsi="Arial"/>
          <w:b/>
          <w:color w:val="1F3864"/>
          <w:sz w:val="22"/>
        </w:rPr>
        <w:t xml:space="preserve">Cuadro 7. </w:t>
      </w:r>
      <w:r>
        <w:rPr>
          <w:rFonts w:ascii="Arial" w:hAnsi="Arial"/>
          <w:sz w:val="22"/>
        </w:rPr>
        <w:t>Laboratory parameter evolution during hospitalization — HEEE (January–February 2026)</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226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Date / Service</w:t>
            </w:r>
          </w:p>
        </w:tc>
        <w:tc>
          <w:tcPr>
            <w:tcW w:type="dxa" w:w="113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WBC ×10³</w:t>
            </w:r>
          </w:p>
        </w:tc>
        <w:tc>
          <w:tcPr>
            <w:tcW w:type="dxa" w:w="113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Hb g/dL</w:t>
            </w:r>
          </w:p>
        </w:tc>
        <w:tc>
          <w:tcPr>
            <w:tcW w:type="dxa" w:w="113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CRP¹ mg/L</w:t>
            </w:r>
          </w:p>
        </w:tc>
        <w:tc>
          <w:tcPr>
            <w:tcW w:type="dxa" w:w="113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PCT ng/mL</w:t>
            </w:r>
          </w:p>
        </w:tc>
        <w:tc>
          <w:tcPr>
            <w:tcW w:type="dxa" w:w="113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Na mEq/L</w:t>
            </w:r>
          </w:p>
        </w:tc>
        <w:tc>
          <w:tcPr>
            <w:tcW w:type="dxa" w:w="113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K mEq/L</w:t>
            </w:r>
          </w:p>
        </w:tc>
        <w:tc>
          <w:tcPr>
            <w:tcW w:type="dxa" w:w="1417"/>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Glucose mg/dL</w:t>
            </w:r>
          </w:p>
        </w:tc>
      </w:tr>
      <w:tr>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17/01 — ORL Emergency</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13.11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8.3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202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0.31</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133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2.9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120 ↑</w:t>
            </w:r>
          </w:p>
        </w:tc>
      </w:tr>
      <w:tr>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18/01 — ICU (preop)</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13.69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8.9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189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0.26</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130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3.3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164 ↑↑</w:t>
            </w:r>
          </w:p>
        </w:tc>
      </w:tr>
      <w:tr>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19/01 — ICU (postop)</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7.06</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8.2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132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3.8</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93</w:t>
            </w:r>
          </w:p>
        </w:tc>
      </w:tr>
      <w:tr>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20/01 — ORL Floor 6</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8.31</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12.0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114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0.12</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129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4.1</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22/01 — ORL Floor 6</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5.35</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10.4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0.08</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134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4.1</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129 ↑</w:t>
            </w:r>
          </w:p>
        </w:tc>
      </w:tr>
      <w:tr>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26/01 — ORL Floor 6</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7.41</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12.0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16.7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135</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3.6</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114 ↑</w:t>
            </w:r>
          </w:p>
        </w:tc>
      </w:tr>
      <w:tr>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05/02 — ORL Floor 6</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7.67</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11.1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8.85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135</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4.9</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135 ↑</w:t>
            </w:r>
          </w:p>
        </w:tc>
      </w:tr>
      <w:tr>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09/02 — ORL Floor 6</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9.27</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12.0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7.35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134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5.4 ↑</w:t>
            </w:r>
          </w:p>
        </w:tc>
        <w:tc>
          <w:tcPr>
            <w:tcW w:type="dxa" w:w="1176"/>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139 ↑</w:t>
            </w:r>
          </w:p>
        </w:tc>
      </w:tr>
      <w:tr>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16/02 — Plastic Surgery</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5.97</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10.9 ↓</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138</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4.2</w:t>
            </w:r>
          </w:p>
        </w:tc>
        <w:tc>
          <w:tcPr>
            <w:tcW w:type="dxa" w:w="1176"/>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131 ↑</w:t>
            </w:r>
          </w:p>
        </w:tc>
      </w:tr>
    </w:tbl>
    <w:p>
      <w:pPr>
        <w:spacing w:before="40" w:after="40"/>
      </w:pPr>
    </w:p>
    <w:p>
      <w:pPr>
        <w:jc w:val="both"/>
        <w:spacing w:before="0" w:after="80" w:line="276" w:lineRule="auto"/>
      </w:pPr>
      <w:r>
        <w:rPr>
          <w:rFonts w:ascii="Arial" w:hAnsi="Arial"/>
          <w:b w:val="0"/>
          <w:i/>
          <w:color w:val="777777"/>
          <w:sz w:val="22"/>
        </w:rPr>
        <w:t>¹ CRP: C-reactive protein. PCT: procalcitonin.</w:t>
      </w:r>
    </w:p>
    <w:p>
      <w:pPr>
        <w:jc w:val="both"/>
        <w:spacing w:before="80" w:after="80" w:line="276" w:lineRule="auto"/>
      </w:pPr>
      <w:r>
        <w:rPr>
          <w:rFonts w:ascii="Arial" w:hAnsi="Arial"/>
          <w:b w:val="0"/>
          <w:i w:val="0"/>
          <w:sz w:val="22"/>
        </w:rPr>
        <w:t>C-reactive protein (CRP) declined from 202 mg/L to 7.35 mg/L by postoperative day 22, confirming response to debridement and meropenem.</w:t>
      </w:r>
      <w:r>
        <w:rPr>
          <w:rFonts w:ascii="Arial" w:hAnsi="Arial"/>
          <w:b w:val="0"/>
          <w:i w:val="0"/>
          <w:sz w:val="22"/>
          <w:vertAlign w:val="superscript"/>
        </w:rPr>
        <w:t>12</w:t>
      </w:r>
      <w:r>
        <w:rPr>
          <w:rFonts w:ascii="Arial" w:hAnsi="Arial"/>
          <w:b w:val="0"/>
          <w:i w:val="0"/>
          <w:sz w:val="22"/>
        </w:rPr>
        <w:t xml:space="preserve"> Procalcitonin remained &lt; 0.5 ng/mL throughout follow-up, consistent with negative blood cultures.</w:t>
      </w:r>
      <w:r>
        <w:rPr>
          <w:rFonts w:ascii="Arial" w:hAnsi="Arial"/>
          <w:b w:val="0"/>
          <w:i w:val="0"/>
          <w:sz w:val="22"/>
          <w:vertAlign w:val="superscript"/>
        </w:rPr>
        <w:t>24,15</w:t>
      </w:r>
    </w:p>
    <w:p>
      <w:pPr>
        <w:pStyle w:val="Heading2"/>
        <w:spacing w:before="200" w:after="80"/>
      </w:pPr>
      <w:r>
        <w:t>6.4 Wound evolution — Photographic documentation</w:t>
      </w:r>
    </w:p>
    <w:p>
      <w:pPr>
        <w:jc w:val="both"/>
        <w:spacing w:before="80" w:after="80" w:line="276" w:lineRule="auto"/>
      </w:pPr>
      <w:r>
        <w:rPr>
          <w:rFonts w:ascii="Arial" w:hAnsi="Arial"/>
          <w:b w:val="0"/>
          <w:i w:val="0"/>
          <w:sz w:val="22"/>
        </w:rPr>
        <w:t>Figures 12–13 show early postoperative evolution (postoperative day [POD] 6, January 24, 2026). Figures 15–17 document outpatient follow-up (~POD 71, March 30–31, 2026) with active granulation tissue in the cervical and infraclavicular defects.</w:t>
      </w:r>
    </w:p>
    <w:tbl>
      <w:tblPr>
        <w:tblW w:type="auto" w:w="0"/>
        <w:jc w:val="center"/>
        <w:tblLook w:firstColumn="1" w:firstRow="1" w:lastColumn="0" w:lastRow="0" w:noHBand="0" w:noVBand="1" w:val="04A0"/>
      </w:tblPr>
      <w:tblGrid>
        <w:gridCol w:w="4703"/>
        <w:gridCol w:w="4703"/>
      </w:tblGrid>
      <w:tr>
        <w:tc>
          <w:tcPr>
            <w:tcW w:type="dxa" w:w="4535"/>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2772000" cy="2087153"/>
                  <wp:docPr id="28" name="Picture 28"/>
                  <wp:cNvGraphicFramePr>
                    <a:graphicFrameLocks noChangeAspect="1"/>
                  </wp:cNvGraphicFramePr>
                  <a:graphic>
                    <a:graphicData uri="http://schemas.openxmlformats.org/drawingml/2006/picture">
                      <pic:pic>
                        <pic:nvPicPr>
                          <pic:cNvPr id="0" name="fig4b_postop_herida_jan24.jpg"/>
                          <pic:cNvPicPr/>
                        </pic:nvPicPr>
                        <pic:blipFill>
                          <a:blip r:embed="rId20"/>
                          <a:stretch>
                            <a:fillRect/>
                          </a:stretch>
                        </pic:blipFill>
                        <pic:spPr>
                          <a:xfrm>
                            <a:off x="0" y="0"/>
                            <a:ext cx="2772000" cy="2087153"/>
                          </a:xfrm>
                          <a:prstGeom prst="rect"/>
                        </pic:spPr>
                      </pic:pic>
                    </a:graphicData>
                  </a:graphic>
                </wp:inline>
              </w:drawing>
            </w:r>
          </w:p>
        </w:tc>
        <w:tc>
          <w:tcPr>
            <w:tcW w:type="dxa" w:w="4535"/>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2772000" cy="2087153"/>
                  <wp:docPr id="29" name="Picture 29"/>
                  <wp:cNvGraphicFramePr>
                    <a:graphicFrameLocks noChangeAspect="1"/>
                  </wp:cNvGraphicFramePr>
                  <a:graphic>
                    <a:graphicData uri="http://schemas.openxmlformats.org/drawingml/2006/picture">
                      <pic:pic>
                        <pic:nvPicPr>
                          <pic:cNvPr id="0" name="fig4a_postop_traqueo_jan24.jpg"/>
                          <pic:cNvPicPr/>
                        </pic:nvPicPr>
                        <pic:blipFill>
                          <a:blip r:embed="rId21"/>
                          <a:stretch>
                            <a:fillRect/>
                          </a:stretch>
                        </pic:blipFill>
                        <pic:spPr>
                          <a:xfrm>
                            <a:off x="0" y="0"/>
                            <a:ext cx="2772000" cy="2087153"/>
                          </a:xfrm>
                          <a:prstGeom prst="rect"/>
                        </pic:spPr>
                      </pic:pic>
                    </a:graphicData>
                  </a:graphic>
                </wp:inline>
              </w:drawing>
            </w:r>
          </w:p>
        </w:tc>
      </w:tr>
      <w:tr>
        <w:tc>
          <w:tcPr>
            <w:tcW w:type="dxa" w:w="4703"/>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12. </w:t>
            </w:r>
            <w:r>
              <w:rPr>
                <w:rFonts w:ascii="Arial" w:hAnsi="Arial"/>
                <w:i/>
                <w:color w:val="777777"/>
                <w:sz w:val="18"/>
              </w:rPr>
              <w:t>Postoperative evolution (POD 6, January 24, 2026): general view of cervical wound with active blue drain and bilateral open wound management. Evident perilesional edema reduction compared to admission (January 17, 2026).</w:t>
            </w:r>
          </w:p>
        </w:tc>
        <w:tc>
          <w:tcPr>
            <w:tcW w:type="dxa" w:w="4703"/>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13. </w:t>
            </w:r>
            <w:r>
              <w:rPr>
                <w:rFonts w:ascii="Arial" w:hAnsi="Arial"/>
                <w:i/>
                <w:color w:val="777777"/>
                <w:sz w:val="18"/>
              </w:rPr>
              <w:t>Postoperative evolution (POD 6, January 24, 2026): close-up of cervical tracheostomy with cannula in place, approximation sutures and incipient granulation tissue at wound margins.</w:t>
            </w:r>
          </w:p>
        </w:tc>
      </w:tr>
    </w:tbl>
    <w:p>
      <w:pPr>
        <w:spacing w:before="40" w:after="40"/>
      </w:pPr>
    </w:p>
    <w:tbl>
      <w:tblPr>
        <w:tblW w:type="auto" w:w="0"/>
        <w:jc w:val="center"/>
        <w:tblLook w:firstColumn="1" w:firstRow="1" w:lastColumn="0" w:lastRow="0" w:noHBand="0" w:noVBand="1" w:val="04A0"/>
      </w:tblPr>
      <w:tblGrid>
        <w:gridCol w:w="3135"/>
        <w:gridCol w:w="3135"/>
        <w:gridCol w:w="3135"/>
      </w:tblGrid>
      <w:tr>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2412907"/>
                  <wp:docPr id="30" name="Picture 30"/>
                  <wp:cNvGraphicFramePr>
                    <a:graphicFrameLocks noChangeAspect="1"/>
                  </wp:cNvGraphicFramePr>
                  <a:graphic>
                    <a:graphicData uri="http://schemas.openxmlformats.org/drawingml/2006/picture">
                      <pic:pic>
                        <pic:nvPicPr>
                          <pic:cNvPr id="0" name="fig5a_control_cervical_mar30.jpg"/>
                          <pic:cNvPicPr/>
                        </pic:nvPicPr>
                        <pic:blipFill>
                          <a:blip r:embed="rId22"/>
                          <a:stretch>
                            <a:fillRect/>
                          </a:stretch>
                        </pic:blipFill>
                        <pic:spPr>
                          <a:xfrm>
                            <a:off x="0" y="0"/>
                            <a:ext cx="1812000" cy="2412907"/>
                          </a:xfrm>
                          <a:prstGeom prst="rect"/>
                        </pic:spPr>
                      </pic:pic>
                    </a:graphicData>
                  </a:graphic>
                </wp:inline>
              </w:drawing>
            </w:r>
          </w:p>
        </w:tc>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1360742"/>
                  <wp:docPr id="31" name="Picture 31"/>
                  <wp:cNvGraphicFramePr>
                    <a:graphicFrameLocks noChangeAspect="1"/>
                  </wp:cNvGraphicFramePr>
                  <a:graphic>
                    <a:graphicData uri="http://schemas.openxmlformats.org/drawingml/2006/picture">
                      <pic:pic>
                        <pic:nvPicPr>
                          <pic:cNvPr id="0" name="fig5b_control_infraclavicular_mar30.jpg"/>
                          <pic:cNvPicPr/>
                        </pic:nvPicPr>
                        <pic:blipFill>
                          <a:blip r:embed="rId23"/>
                          <a:stretch>
                            <a:fillRect/>
                          </a:stretch>
                        </pic:blipFill>
                        <pic:spPr>
                          <a:xfrm>
                            <a:off x="0" y="0"/>
                            <a:ext cx="1812000" cy="1360742"/>
                          </a:xfrm>
                          <a:prstGeom prst="rect"/>
                        </pic:spPr>
                      </pic:pic>
                    </a:graphicData>
                  </a:graphic>
                </wp:inline>
              </w:drawing>
            </w:r>
          </w:p>
        </w:tc>
        <w:tc>
          <w:tcPr>
            <w:tcW w:type="dxa" w:w="3024"/>
            <w:tcBorders>
              <w:top w:val="single" w:sz="0" w:space="0" w:color="FFFFFF"/>
              <w:left w:val="single" w:sz="0" w:space="0" w:color="FFFFFF"/>
              <w:bottom w:val="single" w:sz="0" w:space="0" w:color="FFFFFF"/>
              <w:right w:val="single" w:sz="0" w:space="0" w:color="FFFFFF"/>
            </w:tcBorders>
          </w:tcPr>
          <w:p>
            <w:pPr>
              <w:jc w:val="center"/>
              <w:spacing w:before="80" w:after="40"/>
            </w:pPr>
            <w:r>
              <w:drawing>
                <wp:inline xmlns:a="http://schemas.openxmlformats.org/drawingml/2006/main" xmlns:pic="http://schemas.openxmlformats.org/drawingml/2006/picture">
                  <wp:extent cx="1812000" cy="1360132"/>
                  <wp:docPr id="32" name="Picture 32"/>
                  <wp:cNvGraphicFramePr>
                    <a:graphicFrameLocks noChangeAspect="1"/>
                  </wp:cNvGraphicFramePr>
                  <a:graphic>
                    <a:graphicData uri="http://schemas.openxmlformats.org/drawingml/2006/picture">
                      <pic:pic>
                        <pic:nvPicPr>
                          <pic:cNvPr id="0" name="fig5c_control_panoramico_mar31.jpg"/>
                          <pic:cNvPicPr/>
                        </pic:nvPicPr>
                        <pic:blipFill>
                          <a:blip r:embed="rId24"/>
                          <a:stretch>
                            <a:fillRect/>
                          </a:stretch>
                        </pic:blipFill>
                        <pic:spPr>
                          <a:xfrm>
                            <a:off x="0" y="0"/>
                            <a:ext cx="1812000" cy="1360132"/>
                          </a:xfrm>
                          <a:prstGeom prst="rect"/>
                        </pic:spPr>
                      </pic:pic>
                    </a:graphicData>
                  </a:graphic>
                </wp:inline>
              </w:drawing>
            </w:r>
          </w:p>
        </w:tc>
      </w:tr>
      <w:tr>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14. </w:t>
            </w:r>
            <w:r>
              <w:rPr>
                <w:rFonts w:ascii="Arial" w:hAnsi="Arial"/>
                <w:i/>
                <w:color w:val="777777"/>
                <w:sz w:val="18"/>
              </w:rPr>
              <w:t>Outpatient follow-up (~POD 71, March 30, 2026): submandibular cervical defect with active granulation tissue and right infraclavicular defect healing by secondary intention.</w:t>
            </w:r>
          </w:p>
        </w:tc>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15. </w:t>
            </w:r>
            <w:r>
              <w:rPr>
                <w:rFonts w:ascii="Arial" w:hAnsi="Arial"/>
                <w:i/>
                <w:color w:val="777777"/>
                <w:sz w:val="18"/>
              </w:rPr>
              <w:t>Outpatient follow-up (March 30, 2026): close-up of infraclavicular defect with active granulation tissue, well-defined edges, and no signs of active infection.</w:t>
            </w:r>
          </w:p>
        </w:tc>
        <w:tc>
          <w:tcPr>
            <w:tcW w:type="dxa" w:w="3135"/>
            <w:tcBorders>
              <w:top w:val="single" w:sz="0" w:space="0" w:color="FFFFFF"/>
              <w:left w:val="single" w:sz="0" w:space="0" w:color="FFFFFF"/>
              <w:bottom w:val="single" w:sz="0" w:space="0" w:color="FFFFFF"/>
              <w:right w:val="single" w:sz="0" w:space="0" w:color="FFFFFF"/>
            </w:tcBorders>
          </w:tcPr>
          <w:p>
            <w:pPr>
              <w:jc w:val="center"/>
              <w:spacing w:before="40" w:after="160"/>
            </w:pPr>
            <w:r>
              <w:rPr>
                <w:rFonts w:ascii="Arial" w:hAnsi="Arial"/>
                <w:b/>
                <w:i/>
                <w:color w:val="777777"/>
                <w:sz w:val="18"/>
              </w:rPr>
              <w:t xml:space="preserve">Figura 16. </w:t>
            </w:r>
            <w:r>
              <w:rPr>
                <w:rFonts w:ascii="Arial" w:hAnsi="Arial"/>
                <w:i/>
                <w:color w:val="777777"/>
                <w:sz w:val="18"/>
              </w:rPr>
              <w:t>Outpatient follow-up (March 31, 2026): panoramic cervical view showing favorable defect evolution. Active granulation in resolution. Healing by secondary intention ongoing.</w:t>
            </w:r>
          </w:p>
        </w:tc>
      </w:tr>
    </w:tbl>
    <w:p>
      <w:pPr>
        <w:spacing w:before="40" w:after="40"/>
      </w:pPr>
    </w:p>
    <w:p>
      <w:pPr>
        <w:pStyle w:val="Heading2"/>
        <w:spacing w:before="200" w:after="80"/>
      </w:pPr>
      <w:r>
        <w:t>6.5 Postoperative complications</w:t>
      </w:r>
    </w:p>
    <w:p>
      <w:pPr>
        <w:pStyle w:val="ListBullet"/>
        <w:spacing w:before="60" w:after="60"/>
      </w:pPr>
      <w:r>
        <w:rPr>
          <w:rFonts w:ascii="Arial" w:hAnsi="Arial"/>
          <w:b/>
          <w:i w:val="0"/>
          <w:sz w:val="22"/>
        </w:rPr>
        <w:t xml:space="preserve">Acute hypoxemia (POD 5, January 23): </w:t>
      </w:r>
      <w:r>
        <w:rPr>
          <w:rFonts w:ascii="Arial" w:hAnsi="Arial"/>
          <w:b w:val="0"/>
          <w:i w:val="0"/>
          <w:sz w:val="22"/>
        </w:rPr>
        <w:t>SpO2 85.7%, PaO2 47.9 mmHg, D-dimer 1.27 µg/mL. Compatible with atelectasis or aspiration pneumonia.</w:t>
      </w:r>
    </w:p>
    <w:p>
      <w:pPr>
        <w:pStyle w:val="ListBullet"/>
        <w:spacing w:before="60" w:after="60"/>
      </w:pPr>
      <w:r>
        <w:rPr>
          <w:rFonts w:ascii="Arial" w:hAnsi="Arial"/>
          <w:b/>
          <w:i w:val="0"/>
          <w:sz w:val="22"/>
        </w:rPr>
        <w:t xml:space="preserve">Recurrent hyponatremia and hypokalemia: </w:t>
      </w:r>
      <w:r>
        <w:rPr>
          <w:rFonts w:ascii="Arial" w:hAnsi="Arial"/>
          <w:b w:val="0"/>
          <w:i w:val="0"/>
          <w:sz w:val="22"/>
        </w:rPr>
        <w:t>Minimum Na 129 mEq/L, K 2.9 mEq/L. Progressive IV correction.</w:t>
      </w:r>
    </w:p>
    <w:p>
      <w:pPr>
        <w:pStyle w:val="ListBullet"/>
        <w:spacing w:before="60" w:after="60"/>
      </w:pPr>
      <w:r>
        <w:rPr>
          <w:rFonts w:ascii="Arial" w:hAnsi="Arial"/>
          <w:b/>
          <w:i w:val="0"/>
          <w:sz w:val="22"/>
        </w:rPr>
        <w:t xml:space="preserve">Nosocomial candiduria (POD 17, February 4): </w:t>
      </w:r>
      <w:r>
        <w:rPr>
          <w:rFonts w:ascii="Arial" w:hAnsi="Arial"/>
          <w:b w:val="0"/>
          <w:i w:val="0"/>
          <w:sz w:val="22"/>
        </w:rPr>
        <w:t>Candida spp. yeast +++ / hyphae +++. Treated with fluconazole 150 mg IV q24h for 14 days with favorable resolution.</w:t>
      </w:r>
    </w:p>
    <w:p>
      <w:pPr>
        <w:pStyle w:val="ListBullet"/>
        <w:spacing w:before="60" w:after="60"/>
      </w:pPr>
      <w:r>
        <w:rPr>
          <w:rFonts w:ascii="Arial" w:hAnsi="Arial"/>
          <w:b/>
          <w:i w:val="0"/>
          <w:sz w:val="22"/>
        </w:rPr>
        <w:t xml:space="preserve">Progressive eosinophilia: </w:t>
      </w:r>
      <w:r>
        <w:rPr>
          <w:rFonts w:ascii="Arial" w:hAnsi="Arial"/>
          <w:b w:val="0"/>
          <w:i w:val="0"/>
          <w:sz w:val="22"/>
        </w:rPr>
        <w:t>Up to 18.7% (February 9). Compatible with drug reaction to prolonged antibiotherapy.</w:t>
      </w:r>
    </w:p>
    <w:p>
      <w:pPr>
        <w:pStyle w:val="ListBullet"/>
        <w:spacing w:before="60" w:after="60"/>
      </w:pPr>
      <w:r>
        <w:rPr>
          <w:rFonts w:ascii="Arial" w:hAnsi="Arial"/>
          <w:b/>
          <w:i w:val="0"/>
          <w:sz w:val="22"/>
        </w:rPr>
        <w:t xml:space="preserve">Persistent anemia of chronic disease: </w:t>
      </w:r>
      <w:r>
        <w:rPr>
          <w:rFonts w:ascii="Arial" w:hAnsi="Arial"/>
          <w:b w:val="0"/>
          <w:i w:val="0"/>
          <w:sz w:val="22"/>
        </w:rPr>
        <w:t>Hb 8.2–12.0 g/dL throughout hospitalization.</w:t>
      </w:r>
    </w:p>
    <w:p>
      <w:r>
        <w:br w:type="page"/>
      </w:r>
    </w:p>
    <w:p>
      <w:pPr>
        <w:pStyle w:val="Heading1"/>
        <w:spacing w:before="240" w:after="120"/>
        <w:pBdr>
          <w:bottom w:val="single" w:sz="8" w:space="4" w:color="2E75B6"/>
        </w:pBdr>
      </w:pPr>
      <w:r>
        <w:t>7. DISCUSSION</w:t>
      </w:r>
    </w:p>
    <w:p>
      <w:pPr>
        <w:pStyle w:val="Heading2"/>
        <w:spacing w:before="200" w:after="80"/>
      </w:pPr>
      <w:r>
        <w:t>7.1 Differential diagnosis</w:t>
      </w:r>
    </w:p>
    <w:p>
      <w:pPr>
        <w:jc w:val="left"/>
        <w:spacing w:before="200" w:after="80"/>
      </w:pPr>
      <w:r>
        <w:rPr>
          <w:rFonts w:ascii="Arial" w:hAnsi="Arial"/>
          <w:b/>
          <w:color w:val="1F3864"/>
          <w:sz w:val="22"/>
        </w:rPr>
        <w:t xml:space="preserve">Cuadro 8. </w:t>
      </w:r>
      <w:r>
        <w:rPr>
          <w:rFonts w:ascii="Arial" w:hAnsi="Arial"/>
          <w:sz w:val="22"/>
        </w:rPr>
        <w:t>Differential diagnosis of deep cervicofacial infections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Entity</w:t>
            </w:r>
          </w:p>
        </w:tc>
        <w:tc>
          <w:tcPr>
            <w:tcW w:type="dxa" w:w="255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Clinical features</w:t>
            </w:r>
          </w:p>
        </w:tc>
        <w:tc>
          <w:tcPr>
            <w:tcW w:type="dxa" w:w="255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Imaging findings</w:t>
            </w:r>
          </w:p>
        </w:tc>
        <w:tc>
          <w:tcPr>
            <w:tcW w:type="dxa" w:w="226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Management</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Cervical phlegmon</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Diffuse induration, no fluctuation, no necrosis.</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Diffuse soft tissue thickening. No gas or collection.</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rPr>
              <w:t>IV antibiotics + close monitoring.</w:t>
            </w:r>
            <w:r>
              <w:rPr>
                <w:rFonts w:ascii="Arial" w:hAnsi="Arial"/>
                <w:b w:val="0"/>
                <w:i w:val="0"/>
                <w:sz w:val="20"/>
                <w:vertAlign w:val="superscript"/>
              </w:rPr>
              <w:t>12,13</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Deep neck abscess</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Fluctuation, trismus, moderate fever.</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Hypodense collection with rim enhancement. Gas possible.</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rPr>
              <w:t>Transcervical drainage + IV antibiotics.</w:t>
            </w:r>
            <w:r>
              <w:rPr>
                <w:rFonts w:ascii="Arial" w:hAnsi="Arial"/>
                <w:b w:val="0"/>
                <w:i w:val="0"/>
                <w:sz w:val="20"/>
                <w:vertAlign w:val="superscript"/>
              </w:rPr>
              <w:t>12,13</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Ludwig's Angina (onset)</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i w:val="0"/>
                <w:sz w:val="20"/>
              </w:rPr>
              <w:t xml:space="preserve">CASE (onset): </w:t>
            </w:r>
            <w:r>
              <w:rPr>
                <w:rFonts w:ascii="Arial" w:hAnsi="Arial"/>
                <w:b w:val="0"/>
                <w:i w:val="0"/>
                <w:sz w:val="20"/>
              </w:rPr>
              <w:t>Bilateral cellulitis floor of mouth, functional trismus, no fluctuation.</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Bilateral submandibular/sublingual thickening. No defined collection.</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rPr>
              <w:t>Airway management + IV ATB + debridement if progression.</w:t>
            </w:r>
            <w:r>
              <w:rPr>
                <w:rFonts w:ascii="Arial" w:hAnsi="Arial"/>
                <w:b w:val="0"/>
                <w:i w:val="0"/>
                <w:sz w:val="20"/>
                <w:vertAlign w:val="superscript"/>
              </w:rPr>
              <w:t>1,2</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Cervical CNF</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i w:val="0"/>
                <w:sz w:val="20"/>
              </w:rPr>
              <w:t xml:space="preserve">CASE (progression): </w:t>
            </w:r>
            <w:r>
              <w:rPr>
                <w:rFonts w:ascii="Arial" w:hAnsi="Arial"/>
                <w:b w:val="0"/>
                <w:i w:val="0"/>
                <w:sz w:val="20"/>
              </w:rPr>
              <w:t>Extensive necrosis, black eschar, fetid fistulas, crepitation, systemic sepsis.</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Soft tissue gas, fascial necrosis, confirmed cutaneous fistulas (see Figures 1–9).</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rPr>
              <w:t>Urgent radical debridement + carbapenems + ICU.</w:t>
            </w:r>
            <w:r>
              <w:rPr>
                <w:rFonts w:ascii="Arial" w:hAnsi="Arial"/>
                <w:b w:val="0"/>
                <w:i w:val="0"/>
                <w:sz w:val="20"/>
                <w:vertAlign w:val="superscript"/>
              </w:rPr>
              <w:t>9,10</w:t>
            </w:r>
          </w:p>
        </w:tc>
      </w:tr>
    </w:tbl>
    <w:p>
      <w:pPr>
        <w:spacing w:before="40" w:after="40"/>
      </w:pPr>
    </w:p>
    <w:p>
      <w:pPr>
        <w:pStyle w:val="Heading2"/>
        <w:spacing w:before="200" w:after="80"/>
      </w:pPr>
      <w:r>
        <w:t>7.2 Progression from Ludwig's Angina to CNF in a diabetic patient</w:t>
      </w:r>
    </w:p>
    <w:p>
      <w:pPr>
        <w:jc w:val="both"/>
        <w:spacing w:before="80" w:after="80" w:line="276" w:lineRule="auto"/>
      </w:pPr>
      <w:r>
        <w:rPr>
          <w:rFonts w:ascii="Arial" w:hAnsi="Arial"/>
          <w:b/>
          <w:color w:val="FF6600"/>
          <w:sz w:val="22"/>
        </w:rPr>
        <w:t>⚠ [AI_PENDING: Discuss progression mechanisms in DM (neutrophil dysfunction, microangiopathy, neuropathy), admission hyperglycemia and one-month delay. Cite 1,2,8,21]</w:t>
      </w:r>
    </w:p>
    <w:p>
      <w:pPr>
        <w:pStyle w:val="Heading2"/>
        <w:spacing w:before="200" w:after="80"/>
      </w:pPr>
      <w:r>
        <w:t>7.3 ESBL-producing Klebsiella pneumoniae in a community-onset infection</w:t>
      </w:r>
    </w:p>
    <w:p>
      <w:pPr>
        <w:jc w:val="both"/>
        <w:spacing w:before="80" w:after="80" w:line="276" w:lineRule="auto"/>
      </w:pPr>
      <w:r>
        <w:rPr>
          <w:rFonts w:ascii="Arial" w:hAnsi="Arial"/>
          <w:b/>
          <w:color w:val="FF6600"/>
          <w:sz w:val="22"/>
        </w:rPr>
        <w:t>⚠ [AI_PENDING: Discuss unusual community-onset K. pneumoniae ESBL isolation, antibiotic choice impact (meropenem), negative blood cultures and CRP decline as confirmation. Cite 7,8,15,25]</w:t>
      </w:r>
    </w:p>
    <w:p>
      <w:pPr>
        <w:pStyle w:val="Heading2"/>
        <w:spacing w:before="200" w:after="80"/>
      </w:pPr>
      <w:r>
        <w:t>7.4 Surgical approaches by fascial space</w:t>
      </w:r>
    </w:p>
    <w:p>
      <w:pPr>
        <w:jc w:val="left"/>
        <w:spacing w:before="200" w:after="80"/>
      </w:pPr>
      <w:r>
        <w:rPr>
          <w:rFonts w:ascii="Arial" w:hAnsi="Arial"/>
          <w:b/>
          <w:color w:val="1F3864"/>
          <w:sz w:val="22"/>
        </w:rPr>
        <w:t xml:space="preserve">Cuadro 9. </w:t>
      </w:r>
      <w:r>
        <w:rPr>
          <w:rFonts w:ascii="Arial" w:hAnsi="Arial"/>
          <w:sz w:val="22"/>
        </w:rPr>
        <w:t>Surgical approaches based on compromised cervical fascial space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Fascial space</w:t>
            </w:r>
          </w:p>
        </w:tc>
        <w:tc>
          <w:tcPr>
            <w:tcW w:type="dxa" w:w="2835"/>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Approach of choice</w:t>
            </w:r>
          </w:p>
        </w:tc>
        <w:tc>
          <w:tcPr>
            <w:tcW w:type="dxa" w:w="2835"/>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Alternative approach</w:t>
            </w:r>
          </w:p>
        </w:tc>
        <w:tc>
          <w:tcPr>
            <w:tcW w:type="dxa" w:w="1134"/>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Ref.</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Submandibular (Ludwig's Angina)</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Bilateral submandibular + submental</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Prophylactic tracheostomy</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vertAlign w:val="superscript"/>
              </w:rPr>
              <w:t>1,2</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Extensive bilateral CNF (PRESENT CASE)</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Wide radical debridement (Figures 10–11)</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Multiple relaxation incisions ± VAC therapy</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vertAlign w:val="superscript"/>
              </w:rPr>
              <w:t>9,10</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Parapharyngeal</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Transcervical submandibular</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Transoral selected</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vertAlign w:val="superscript"/>
              </w:rPr>
              <w:t>13</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Retropharyngeal</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Transcervical + transoral</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Transoral in pediatrics</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vertAlign w:val="superscript"/>
              </w:rPr>
              <w:t>16</w:t>
            </w:r>
          </w:p>
        </w:tc>
      </w:tr>
      <w:tr>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Carotid</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Transcervical anterior to SCM</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235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vertAlign w:val="superscript"/>
              </w:rPr>
              <w:t>17</w:t>
            </w:r>
          </w:p>
        </w:tc>
      </w:tr>
      <w:tr>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Danger space / Mediastinum</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Extended transcervical + VATS</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Right thoracotomy</w:t>
            </w:r>
          </w:p>
        </w:tc>
        <w:tc>
          <w:tcPr>
            <w:tcW w:type="dxa" w:w="235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b w:val="0"/>
                <w:i w:val="0"/>
                <w:sz w:val="20"/>
                <w:vertAlign w:val="superscript"/>
              </w:rPr>
              <w:t>18</w:t>
            </w:r>
          </w:p>
        </w:tc>
      </w:tr>
    </w:tbl>
    <w:p>
      <w:pPr>
        <w:spacing w:before="40" w:after="40"/>
      </w:pPr>
    </w:p>
    <w:p>
      <w:pPr>
        <w:pStyle w:val="Heading2"/>
        <w:spacing w:before="200" w:after="80"/>
      </w:pPr>
      <w:r>
        <w:t>7.5 Complications</w:t>
      </w:r>
    </w:p>
    <w:p>
      <w:pPr>
        <w:pStyle w:val="ListBullet"/>
        <w:spacing w:before="60" w:after="60"/>
      </w:pPr>
      <w:r>
        <w:rPr>
          <w:rFonts w:ascii="Arial" w:hAnsi="Arial"/>
          <w:b/>
          <w:i w:val="0"/>
          <w:sz w:val="22"/>
        </w:rPr>
        <w:t xml:space="preserve">DNM: </w:t>
      </w:r>
      <w:r>
        <w:rPr>
          <w:rFonts w:ascii="Arial" w:hAnsi="Arial"/>
          <w:b w:val="0"/>
          <w:i w:val="0"/>
          <w:sz w:val="22"/>
        </w:rPr>
        <w:t>Mortality 11.8–40%. CT ruled out mediastinal extension.</w:t>
      </w:r>
      <w:r>
        <w:rPr>
          <w:rFonts w:ascii="Arial" w:hAnsi="Arial"/>
          <w:b w:val="0"/>
          <w:i w:val="0"/>
          <w:sz w:val="22"/>
          <w:vertAlign w:val="superscript"/>
        </w:rPr>
        <w:t>4</w:t>
      </w:r>
    </w:p>
    <w:p>
      <w:pPr>
        <w:pStyle w:val="ListBullet"/>
        <w:spacing w:before="60" w:after="60"/>
      </w:pPr>
      <w:r>
        <w:rPr>
          <w:rFonts w:ascii="Arial" w:hAnsi="Arial"/>
          <w:b/>
          <w:i w:val="0"/>
          <w:sz w:val="22"/>
        </w:rPr>
        <w:t xml:space="preserve">Bacteremia / Sepsis: </w:t>
      </w:r>
      <w:r>
        <w:rPr>
          <w:rFonts w:ascii="Arial" w:hAnsi="Arial"/>
          <w:b w:val="0"/>
          <w:i w:val="0"/>
          <w:sz w:val="22"/>
        </w:rPr>
        <w:t>Four blood culture sets negative. Favorable response to source control and meropenem.</w:t>
      </w:r>
      <w:r>
        <w:rPr>
          <w:rFonts w:ascii="Arial" w:hAnsi="Arial"/>
          <w:b w:val="0"/>
          <w:i w:val="0"/>
          <w:sz w:val="22"/>
          <w:vertAlign w:val="superscript"/>
        </w:rPr>
        <w:t>15</w:t>
      </w:r>
    </w:p>
    <w:p>
      <w:pPr>
        <w:pStyle w:val="ListBullet"/>
        <w:spacing w:before="60" w:after="60"/>
      </w:pPr>
      <w:r>
        <w:rPr>
          <w:rFonts w:ascii="Arial" w:hAnsi="Arial"/>
          <w:b/>
          <w:i w:val="0"/>
          <w:sz w:val="22"/>
        </w:rPr>
        <w:t xml:space="preserve">Lemierre's syndrome: </w:t>
      </w:r>
      <w:r>
        <w:rPr>
          <w:rFonts w:ascii="Arial" w:hAnsi="Arial"/>
          <w:b w:val="0"/>
          <w:i w:val="0"/>
          <w:sz w:val="22"/>
        </w:rPr>
        <w:t>Not documented (negative cultures). Elevated D-dimer (1.27 µg/mL) warranted surveillance.</w:t>
      </w:r>
      <w:r>
        <w:rPr>
          <w:rFonts w:ascii="Arial" w:hAnsi="Arial"/>
          <w:b w:val="0"/>
          <w:i w:val="0"/>
          <w:sz w:val="22"/>
          <w:vertAlign w:val="superscript"/>
        </w:rPr>
        <w:t>19</w:t>
      </w:r>
    </w:p>
    <w:p>
      <w:pPr>
        <w:pStyle w:val="ListBullet"/>
        <w:spacing w:before="60" w:after="60"/>
      </w:pPr>
      <w:r>
        <w:rPr>
          <w:rFonts w:ascii="Arial" w:hAnsi="Arial"/>
          <w:b/>
          <w:i w:val="0"/>
          <w:sz w:val="22"/>
        </w:rPr>
        <w:t xml:space="preserve">Nosocomial candidosis: </w:t>
      </w:r>
      <w:r>
        <w:rPr>
          <w:rFonts w:ascii="Arial" w:hAnsi="Arial"/>
          <w:b w:val="0"/>
          <w:i w:val="0"/>
          <w:sz w:val="22"/>
        </w:rPr>
        <w:t>Candiduria POD 17 in T2DM + prolonged antibiotics + urinary catheter. Required antifungal therapy.</w:t>
      </w:r>
      <w:r>
        <w:rPr>
          <w:rFonts w:ascii="Arial" w:hAnsi="Arial"/>
          <w:b w:val="0"/>
          <w:i w:val="0"/>
          <w:sz w:val="22"/>
          <w:vertAlign w:val="superscript"/>
        </w:rPr>
        <w:t>20</w:t>
      </w:r>
    </w:p>
    <w:p>
      <w:pPr>
        <w:pStyle w:val="ListBullet"/>
        <w:spacing w:before="60" w:after="60"/>
      </w:pPr>
      <w:r>
        <w:rPr>
          <w:rFonts w:ascii="Arial" w:hAnsi="Arial"/>
          <w:b/>
          <w:i w:val="0"/>
          <w:sz w:val="22"/>
        </w:rPr>
        <w:t xml:space="preserve">Cervical reconstruction: </w:t>
      </w:r>
      <w:r>
        <w:rPr>
          <w:rFonts w:ascii="Arial" w:hAnsi="Arial"/>
          <w:b w:val="0"/>
          <w:i w:val="0"/>
          <w:sz w:val="22"/>
        </w:rPr>
        <w:t>Residual defect managed by Plastic Surgery (~POD 29), documented in Figures 10–14.</w:t>
      </w:r>
      <w:r>
        <w:rPr>
          <w:rFonts w:ascii="Arial" w:hAnsi="Arial"/>
          <w:b w:val="0"/>
          <w:i w:val="0"/>
          <w:sz w:val="22"/>
          <w:vertAlign w:val="superscript"/>
        </w:rPr>
        <w:t>9</w:t>
      </w:r>
    </w:p>
    <w:p>
      <w:pPr>
        <w:pStyle w:val="Heading2"/>
        <w:spacing w:before="200" w:after="80"/>
      </w:pPr>
      <w:r>
        <w:t>7.6 Limitations of the case</w:t>
      </w:r>
    </w:p>
    <w:p>
      <w:pPr>
        <w:pStyle w:val="ListBullet"/>
        <w:spacing w:before="60" w:after="60"/>
      </w:pPr>
      <w:r>
        <w:rPr>
          <w:rFonts w:ascii="Arial" w:hAnsi="Arial"/>
          <w:b/>
          <w:i w:val="0"/>
          <w:sz w:val="22"/>
        </w:rPr>
        <w:t xml:space="preserve">Retrospective design: </w:t>
      </w:r>
      <w:r>
        <w:rPr>
          <w:rFonts w:ascii="Arial" w:hAnsi="Arial"/>
          <w:b w:val="0"/>
          <w:i w:val="0"/>
          <w:sz w:val="22"/>
        </w:rPr>
        <w:t>Data obtained through medical record review after discharge, with inherent risk of incomplete information.</w:t>
      </w:r>
    </w:p>
    <w:p>
      <w:pPr>
        <w:pStyle w:val="ListBullet"/>
        <w:spacing w:before="60" w:after="60"/>
      </w:pPr>
      <w:r>
        <w:rPr>
          <w:rFonts w:ascii="Arial" w:hAnsi="Arial"/>
          <w:b/>
          <w:i w:val="0"/>
          <w:sz w:val="22"/>
        </w:rPr>
        <w:t xml:space="preserve">Intubation technique not documented: </w:t>
      </w:r>
      <w:r>
        <w:rPr>
          <w:rFonts w:ascii="Arial" w:hAnsi="Arial"/>
          <w:b w:val="0"/>
          <w:i w:val="0"/>
          <w:sz w:val="22"/>
        </w:rPr>
        <w:t>The anesthetic protocol does not specify the method used for difficult airway management (videolaryngoscopy, fiberoptic bronchoscopy, or other).</w:t>
      </w:r>
    </w:p>
    <w:p>
      <w:pPr>
        <w:pStyle w:val="ListBullet"/>
        <w:spacing w:before="60" w:after="60"/>
      </w:pPr>
      <w:r>
        <w:rPr>
          <w:rFonts w:ascii="Arial" w:hAnsi="Arial"/>
          <w:b/>
          <w:i w:val="0"/>
          <w:sz w:val="22"/>
        </w:rPr>
        <w:t xml:space="preserve">Incomplete pulmonary evaluation: </w:t>
      </w:r>
      <w:r>
        <w:rPr>
          <w:rFonts w:ascii="Arial" w:hAnsi="Arial"/>
          <w:b w:val="0"/>
          <w:i w:val="0"/>
          <w:sz w:val="22"/>
        </w:rPr>
        <w:t>The POD 5 acute hypoxemia episode (SpO₂ 85.7%, D-dimer 1.27 µg/mL) has no CT pulmonary angiography record, limiting formal exclusion of pulmonary thromboembolism.</w:t>
      </w:r>
    </w:p>
    <w:p>
      <w:pPr>
        <w:pStyle w:val="ListBullet"/>
        <w:spacing w:before="60" w:after="60"/>
      </w:pPr>
      <w:r>
        <w:rPr>
          <w:rFonts w:ascii="Arial" w:hAnsi="Arial"/>
          <w:b/>
          <w:i w:val="0"/>
          <w:sz w:val="22"/>
        </w:rPr>
        <w:t xml:space="preserve">Single case (n = 1): </w:t>
      </w:r>
      <w:r>
        <w:rPr>
          <w:rFonts w:ascii="Arial" w:hAnsi="Arial"/>
          <w:b w:val="0"/>
          <w:i w:val="0"/>
          <w:sz w:val="22"/>
        </w:rPr>
        <w:t>Findings are not generalizable. Multicenter prospective series are required to validate conclusions.</w:t>
      </w:r>
    </w:p>
    <w:p>
      <w:pPr>
        <w:pStyle w:val="ListBullet"/>
        <w:spacing w:before="60" w:after="60"/>
      </w:pPr>
      <w:r>
        <w:rPr>
          <w:rFonts w:ascii="Arial" w:hAnsi="Arial"/>
          <w:b/>
          <w:i w:val="0"/>
          <w:sz w:val="22"/>
        </w:rPr>
        <w:t xml:space="preserve">Non-protocolized follow-up: </w:t>
      </w:r>
      <w:r>
        <w:rPr>
          <w:rFonts w:ascii="Arial" w:hAnsi="Arial"/>
          <w:b w:val="0"/>
          <w:i w:val="0"/>
          <w:sz w:val="22"/>
        </w:rPr>
        <w:t>Although active outpatient follow-up continues, no formal long-term protocol exists.</w:t>
      </w:r>
    </w:p>
    <w:p>
      <w:pPr>
        <w:pStyle w:val="ListBullet"/>
        <w:spacing w:before="60" w:after="60"/>
      </w:pPr>
      <w:r>
        <w:rPr>
          <w:rFonts w:ascii="Arial" w:hAnsi="Arial"/>
          <w:b/>
          <w:i w:val="0"/>
          <w:sz w:val="22"/>
        </w:rPr>
        <w:t xml:space="preserve">Absence of confirmatory anaerobic cultures: </w:t>
      </w:r>
      <w:r>
        <w:rPr>
          <w:rFonts w:ascii="Arial" w:hAnsi="Arial"/>
          <w:b w:val="0"/>
          <w:i w:val="0"/>
          <w:sz w:val="22"/>
        </w:rPr>
        <w:t>Anaerobic cultures showed no growth, possibly due to technical sensitivity or prior antibiotics.</w:t>
      </w:r>
    </w:p>
    <w:p>
      <w:r>
        <w:br w:type="page"/>
      </w:r>
    </w:p>
    <w:p>
      <w:pPr>
        <w:pStyle w:val="Heading1"/>
        <w:spacing w:before="240" w:after="120"/>
        <w:pBdr>
          <w:bottom w:val="single" w:sz="8" w:space="4" w:color="2E75B6"/>
        </w:pBdr>
      </w:pPr>
      <w:r>
        <w:t>8. CONCLUSIONS</w:t>
      </w:r>
    </w:p>
    <w:p>
      <w:pPr>
        <w:pStyle w:val="ListBullet"/>
        <w:spacing w:before="60" w:after="60"/>
      </w:pPr>
      <w:r>
        <w:rPr>
          <w:rFonts w:ascii="Arial" w:hAnsi="Arial"/>
          <w:sz w:val="22"/>
        </w:rPr>
        <w:t>Ludwig's Angina complicated with cervical necrotizing fasciitis is a surgical emergency with potential mortality of 15–40%. Early multiplanar CT diagnosis (sagittal, coronal, and axial planes), urgent tertiary center transfer, and immediate radical debridement are the cornerstones of treatment.</w:t>
      </w:r>
    </w:p>
    <w:p>
      <w:pPr>
        <w:pStyle w:val="ListBullet"/>
        <w:spacing w:before="60" w:after="60"/>
      </w:pPr>
      <w:r>
        <w:rPr>
          <w:rFonts w:ascii="Arial" w:hAnsi="Arial"/>
          <w:sz w:val="22"/>
        </w:rPr>
        <w:t>Molar extraction without antibiotic prophylaxis in a diabetic patient with severe hyperglycemia (glucose 299–331 mg/dL) was the triggering event. Prevention requires strict glycemic control prior to dental procedures in high-risk patients.</w:t>
      </w:r>
    </w:p>
    <w:p>
      <w:pPr>
        <w:pStyle w:val="ListBullet"/>
        <w:spacing w:before="60" w:after="60"/>
      </w:pPr>
      <w:r>
        <w:rPr>
          <w:rFonts w:ascii="Arial" w:hAnsi="Arial"/>
          <w:b/>
          <w:color w:val="FF6600"/>
          <w:sz w:val="22"/>
        </w:rPr>
        <w:t>⚠ [AI_PENDING: Conclusion about ESBL K. pneumoniae and meropenem]</w:t>
      </w:r>
    </w:p>
    <w:p>
      <w:pPr>
        <w:pStyle w:val="ListBullet"/>
        <w:spacing w:before="60" w:after="60"/>
      </w:pPr>
      <w:r>
        <w:rPr>
          <w:rFonts w:ascii="Arial" w:hAnsi="Arial"/>
          <w:sz w:val="22"/>
        </w:rPr>
        <w:t>Negative blood cultures (4 sets), CRP decline from 202 to 7.35 mg/L over 22 days, and the absence of mediastinal extension confirm the effectiveness of the established management.</w:t>
      </w:r>
    </w:p>
    <w:p>
      <w:pPr>
        <w:pStyle w:val="ListBullet"/>
        <w:spacing w:before="60" w:after="60"/>
      </w:pPr>
      <w:r>
        <w:rPr>
          <w:rFonts w:ascii="Arial" w:hAnsi="Arial"/>
          <w:sz w:val="22"/>
        </w:rPr>
        <w:t>A multidisciplinary ORL–ICU–Infectious Disease–Plastic Surgery approach supervised by the HEEE ORL Department was key in achieving a favorable outcome with 33 days of hospitalization.</w:t>
      </w:r>
    </w:p>
    <w:p>
      <w:pPr>
        <w:pStyle w:val="ListBullet"/>
        <w:spacing w:before="60" w:after="60"/>
      </w:pPr>
      <w:r>
        <w:rPr>
          <w:rFonts w:ascii="Arial" w:hAnsi="Arial"/>
          <w:b/>
          <w:color w:val="FF6600"/>
          <w:sz w:val="22"/>
        </w:rPr>
        <w:t>⚠ [AI_PENDING: Conclusion about health system gap / lesson learned]</w:t>
      </w:r>
    </w:p>
    <w:p>
      <w:r>
        <w:br w:type="page"/>
      </w:r>
    </w:p>
    <w:p>
      <w:pPr>
        <w:pStyle w:val="Heading1"/>
        <w:spacing w:before="240" w:after="120"/>
        <w:pBdr>
          <w:bottom w:val="single" w:sz="8" w:space="4" w:color="2E75B6"/>
        </w:pBdr>
      </w:pPr>
      <w:r>
        <w:t>9. REFERENCES</w:t>
      </w:r>
    </w:p>
    <w:p>
      <w:pPr>
        <w:jc w:val="both"/>
        <w:spacing w:before="80" w:after="80" w:line="276" w:lineRule="auto"/>
      </w:pPr>
      <w:r>
        <w:rPr>
          <w:rFonts w:ascii="Arial" w:hAnsi="Arial"/>
          <w:b w:val="0"/>
          <w:i/>
          <w:color w:val="777777"/>
          <w:sz w:val="22"/>
        </w:rPr>
        <w:t>Vancouver style. Numbered in order of first citation in text.</w:t>
      </w:r>
    </w:p>
    <w:p>
      <w:pPr>
        <w:spacing w:before="40" w:after="40"/>
      </w:pPr>
    </w:p>
    <w:p>
      <w:pPr>
        <w:jc w:val="both"/>
        <w:spacing w:before="60" w:after="60" w:line="276" w:lineRule="auto"/>
      </w:pPr>
      <w:r>
        <w:rPr>
          <w:rFonts w:ascii="Arial" w:hAnsi="Arial"/>
          <w:b/>
          <w:sz w:val="22"/>
        </w:rPr>
        <w:t xml:space="preserve">1. </w:t>
      </w:r>
      <w:r>
        <w:rPr>
          <w:rFonts w:ascii="Arial" w:hAnsi="Arial"/>
          <w:sz w:val="22"/>
        </w:rPr>
        <w:t>Lamont G, Peterson DC. Ludwig Angina. In: StatPearls [Internet]. Treasure Island (FL): StatPearls Publishing; 2024 [citado 2026 Jan 20]. Disponible en: https://www.ncbi.nlm.nih.gov/books/NBK470191/</w:t>
      </w:r>
    </w:p>
    <w:p>
      <w:pPr>
        <w:jc w:val="both"/>
        <w:spacing w:before="60" w:after="60" w:line="276" w:lineRule="auto"/>
      </w:pPr>
      <w:r>
        <w:rPr>
          <w:rFonts w:ascii="Arial" w:hAnsi="Arial"/>
          <w:b/>
          <w:sz w:val="22"/>
        </w:rPr>
        <w:t xml:space="preserve">2. </w:t>
      </w:r>
      <w:r>
        <w:rPr>
          <w:rFonts w:ascii="Arial" w:hAnsi="Arial"/>
          <w:sz w:val="22"/>
        </w:rPr>
        <w:t>Sichel JY, Attal P, Hocwald E, Eliashar R. Redefining parapharyngeal space infections. Ann Otol Rhinol Laryngol. 2006;115(2):117-23. doi: 10.1177/000348940611500207.</w:t>
      </w:r>
    </w:p>
    <w:p>
      <w:pPr>
        <w:jc w:val="both"/>
        <w:spacing w:before="60" w:after="60" w:line="276" w:lineRule="auto"/>
      </w:pPr>
      <w:r>
        <w:rPr>
          <w:rFonts w:ascii="Arial" w:hAnsi="Arial"/>
          <w:b/>
          <w:sz w:val="22"/>
        </w:rPr>
        <w:t xml:space="preserve">3. </w:t>
      </w:r>
      <w:r>
        <w:rPr>
          <w:rFonts w:ascii="Arial" w:hAnsi="Arial"/>
          <w:sz w:val="22"/>
        </w:rPr>
        <w:t>Huang TT, Liu TC, Chen PR, Tseng FY, Yeh TH, Chen YS. Deep neck infection: analysis of 185 cases. Head Neck. 2004;26(10):854-60. doi: 10.1002/hed.20014.</w:t>
      </w:r>
    </w:p>
    <w:p>
      <w:pPr>
        <w:jc w:val="both"/>
        <w:spacing w:before="60" w:after="60" w:line="276" w:lineRule="auto"/>
      </w:pPr>
      <w:r>
        <w:rPr>
          <w:rFonts w:ascii="Arial" w:hAnsi="Arial"/>
          <w:b/>
          <w:sz w:val="22"/>
        </w:rPr>
        <w:t xml:space="preserve">4. </w:t>
      </w:r>
      <w:r>
        <w:rPr>
          <w:rFonts w:ascii="Arial" w:hAnsi="Arial"/>
          <w:sz w:val="22"/>
        </w:rPr>
        <w:t>Prado-Calleros HM, Jimenez-Fuentes E, Jimenez-Islas O. Descending necrotizing mediastinitis: systematic review on its treatment in the last 6 years, 2010-2015. Head Neck. 2016;38 Suppl 1:E2275-83. doi: 10.1002/hed.24408.</w:t>
      </w:r>
    </w:p>
    <w:p>
      <w:pPr>
        <w:jc w:val="both"/>
        <w:spacing w:before="60" w:after="60" w:line="276" w:lineRule="auto"/>
      </w:pPr>
      <w:r>
        <w:rPr>
          <w:rFonts w:ascii="Arial" w:hAnsi="Arial"/>
          <w:b/>
          <w:sz w:val="22"/>
        </w:rPr>
        <w:t xml:space="preserve">5. </w:t>
      </w:r>
      <w:r>
        <w:rPr>
          <w:rFonts w:ascii="Arial" w:hAnsi="Arial"/>
          <w:sz w:val="22"/>
        </w:rPr>
        <w:t>Har-El G, Aroesty JH, Shaha A, Lucente FE. Changing trends in deep neck abscess. A retrospective study of 110 patients. Oral Surg Oral Med Oral Pathol. 1994;77(5):446-50. doi: 10.1016/0030-4220(94)90175-9.</w:t>
      </w:r>
    </w:p>
    <w:p>
      <w:pPr>
        <w:jc w:val="both"/>
        <w:spacing w:before="60" w:after="60" w:line="276" w:lineRule="auto"/>
      </w:pPr>
      <w:r>
        <w:rPr>
          <w:rFonts w:ascii="Arial" w:hAnsi="Arial"/>
          <w:b/>
          <w:sz w:val="22"/>
        </w:rPr>
        <w:t xml:space="preserve">6. </w:t>
      </w:r>
      <w:r>
        <w:rPr>
          <w:rFonts w:ascii="Arial" w:hAnsi="Arial"/>
          <w:sz w:val="22"/>
        </w:rPr>
        <w:t>Vieira F, Allen SM, Stocks RM, Thompson JW. Deep neck infection. Otolaryngol Clin North Am. 2008;41(3):459-83. doi: 10.1016/j.otc.2008.01.002.</w:t>
      </w:r>
    </w:p>
    <w:p>
      <w:pPr>
        <w:jc w:val="both"/>
        <w:spacing w:before="60" w:after="60" w:line="276" w:lineRule="auto"/>
      </w:pPr>
      <w:r>
        <w:rPr>
          <w:rFonts w:ascii="Arial" w:hAnsi="Arial"/>
          <w:b/>
          <w:sz w:val="22"/>
        </w:rPr>
        <w:t xml:space="preserve">7. </w:t>
      </w:r>
      <w:r>
        <w:rPr>
          <w:rFonts w:ascii="Arial" w:hAnsi="Arial"/>
          <w:sz w:val="22"/>
        </w:rPr>
        <w:t>Sartelli M, Guirao X, Hardcastle TC, et al. 2018 WSES/SIS-E consensus conference: recommendations for antibiotic therapy in abdominal infections in adult patients. World J Emerg Surg. 2019;14:40. doi: 10.1186/s13017-019-0259-0.</w:t>
      </w:r>
    </w:p>
    <w:p>
      <w:pPr>
        <w:jc w:val="both"/>
        <w:spacing w:before="60" w:after="60" w:line="276" w:lineRule="auto"/>
      </w:pPr>
      <w:r>
        <w:rPr>
          <w:rFonts w:ascii="Arial" w:hAnsi="Arial"/>
          <w:b/>
          <w:sz w:val="22"/>
        </w:rPr>
        <w:t xml:space="preserve">8. </w:t>
      </w:r>
      <w:r>
        <w:rPr>
          <w:rFonts w:ascii="Arial" w:hAnsi="Arial"/>
          <w:sz w:val="22"/>
        </w:rPr>
        <w:t>Huang TT, Tseng FY, Liu TC, Hsu CJ, Chen YS. Deep neck infection in diabetic patients: comparison of clinical picture and outcomes with nondiabetic patients. Otolaryngol Head Neck Surg. 2005;132(6):943-7. doi: 10.1016/j.otohns.2005.01.028.</w:t>
      </w:r>
    </w:p>
    <w:p>
      <w:pPr>
        <w:jc w:val="both"/>
        <w:spacing w:before="60" w:after="60" w:line="276" w:lineRule="auto"/>
      </w:pPr>
      <w:r>
        <w:rPr>
          <w:rFonts w:ascii="Arial" w:hAnsi="Arial"/>
          <w:b/>
          <w:sz w:val="22"/>
        </w:rPr>
        <w:t xml:space="preserve">9. </w:t>
      </w:r>
      <w:r>
        <w:rPr>
          <w:rFonts w:ascii="Arial" w:hAnsi="Arial"/>
          <w:sz w:val="22"/>
        </w:rPr>
        <w:t>Stevens DL, Bisno AL, Chambers HF, et al. Practice guidelines for the diagnosis and management of skin and soft tissue infections: 2014 update by the IDSA. Clin Infect Dis. 2014;59(2):147-59. doi: 10.1093/cid/ciu296.</w:t>
      </w:r>
    </w:p>
    <w:p>
      <w:pPr>
        <w:jc w:val="both"/>
        <w:spacing w:before="60" w:after="60" w:line="276" w:lineRule="auto"/>
      </w:pPr>
      <w:r>
        <w:rPr>
          <w:rFonts w:ascii="Arial" w:hAnsi="Arial"/>
          <w:b/>
          <w:sz w:val="22"/>
        </w:rPr>
        <w:t xml:space="preserve">10. </w:t>
      </w:r>
      <w:r>
        <w:rPr>
          <w:rFonts w:ascii="Arial" w:hAnsi="Arial"/>
          <w:sz w:val="22"/>
        </w:rPr>
        <w:t>Becker M, Zbaren P, Hermans R, et al. Necrotizing fasciitis of the head and neck: role of CT in diagnosis and management. Radiology. 1997;202(2):471-6. doi: 10.1148/radiology.202.2.9015076.</w:t>
      </w:r>
    </w:p>
    <w:p>
      <w:pPr>
        <w:jc w:val="both"/>
        <w:spacing w:before="60" w:after="60" w:line="276" w:lineRule="auto"/>
      </w:pPr>
      <w:r>
        <w:rPr>
          <w:rFonts w:ascii="Arial" w:hAnsi="Arial"/>
          <w:b/>
          <w:sz w:val="22"/>
        </w:rPr>
        <w:t xml:space="preserve">11. </w:t>
      </w:r>
      <w:r>
        <w:rPr>
          <w:rFonts w:ascii="Arial" w:hAnsi="Arial"/>
          <w:sz w:val="22"/>
        </w:rPr>
        <w:t>Lazor JB, Cunningham MJ, Eavey RD, Weber AL. Comparison of computed tomography and surgical findings in deep neck infections. Otolaryngol Head Neck Surg. 1994;111(6):746-50. doi: 10.1177/019459989411100607.</w:t>
      </w:r>
    </w:p>
    <w:p>
      <w:pPr>
        <w:jc w:val="both"/>
        <w:spacing w:before="60" w:after="60" w:line="276" w:lineRule="auto"/>
      </w:pPr>
      <w:r>
        <w:rPr>
          <w:rFonts w:ascii="Arial" w:hAnsi="Arial"/>
          <w:b/>
          <w:sz w:val="22"/>
        </w:rPr>
        <w:t xml:space="preserve">12. </w:t>
      </w:r>
      <w:r>
        <w:rPr>
          <w:rFonts w:ascii="Arial" w:hAnsi="Arial"/>
          <w:sz w:val="22"/>
        </w:rPr>
        <w:t>Boscolo-Rizzo P, Stellin M, Muzzi E, et al. Deep neck infections: a study of 365 cases highlighting recommendations for management and treatment. Eur Arch Otorhinolaryngol. 2012;269(4):1241-9. doi: 10.1007/s00405-011-1761-1.</w:t>
      </w:r>
    </w:p>
    <w:p>
      <w:pPr>
        <w:jc w:val="both"/>
        <w:spacing w:before="60" w:after="60" w:line="276" w:lineRule="auto"/>
      </w:pPr>
      <w:r>
        <w:rPr>
          <w:rFonts w:ascii="Arial" w:hAnsi="Arial"/>
          <w:b/>
          <w:sz w:val="22"/>
        </w:rPr>
        <w:t xml:space="preserve">13. </w:t>
      </w:r>
      <w:r>
        <w:rPr>
          <w:rFonts w:ascii="Arial" w:hAnsi="Arial"/>
          <w:sz w:val="22"/>
        </w:rPr>
        <w:t>Marioni G, Staffieri A, Parisi S, et al. Rational diagnostic and therapeutic management of deep neck infections: analysis of 233 consecutive cases. Ann Otol Rhinol Laryngol. 2010;119(3):181-7. doi: 10.1177/000348941011900307.</w:t>
      </w:r>
    </w:p>
    <w:p>
      <w:pPr>
        <w:jc w:val="both"/>
        <w:spacing w:before="60" w:after="60" w:line="276" w:lineRule="auto"/>
      </w:pPr>
      <w:r>
        <w:rPr>
          <w:rFonts w:ascii="Arial" w:hAnsi="Arial"/>
          <w:b/>
          <w:sz w:val="22"/>
        </w:rPr>
        <w:t xml:space="preserve">14. </w:t>
      </w:r>
      <w:r>
        <w:rPr>
          <w:rFonts w:ascii="Arial" w:hAnsi="Arial"/>
          <w:sz w:val="22"/>
        </w:rPr>
        <w:t>Thottam PJ, Vimalachandran S, Shivakumar AM. Airway management in deep neck space infections. J Laryngol Otol. 2012;126(8):835-9. doi: 10.1017/S0022215112001211.</w:t>
      </w:r>
    </w:p>
    <w:p>
      <w:pPr>
        <w:jc w:val="both"/>
        <w:spacing w:before="60" w:after="60" w:line="276" w:lineRule="auto"/>
      </w:pPr>
      <w:r>
        <w:rPr>
          <w:rFonts w:ascii="Arial" w:hAnsi="Arial"/>
          <w:b/>
          <w:sz w:val="22"/>
        </w:rPr>
        <w:t xml:space="preserve">15. </w:t>
      </w:r>
      <w:r>
        <w:rPr>
          <w:rFonts w:ascii="Arial" w:hAnsi="Arial"/>
          <w:sz w:val="22"/>
        </w:rPr>
        <w:t>Rhodes A, Evans LE, Alhazzani W, et al. Surviving Sepsis Campaign: International Guidelines for Management of Sepsis and Septic Shock: 2016. Crit Care Med. 2017;45(3):486-552. doi: 10.1097/CCM.0000000000002255.</w:t>
      </w:r>
    </w:p>
    <w:p>
      <w:pPr>
        <w:jc w:val="both"/>
        <w:spacing w:before="60" w:after="60" w:line="276" w:lineRule="auto"/>
      </w:pPr>
      <w:r>
        <w:rPr>
          <w:rFonts w:ascii="Arial" w:hAnsi="Arial"/>
          <w:b/>
          <w:sz w:val="22"/>
        </w:rPr>
        <w:t xml:space="preserve">16. </w:t>
      </w:r>
      <w:r>
        <w:rPr>
          <w:rFonts w:ascii="Arial" w:hAnsi="Arial"/>
          <w:sz w:val="22"/>
        </w:rPr>
        <w:t>Grisaru-Soen G, Komisar O, Aizenstein O, et al. Retropharyngeal and parapharyngeal abscess in children. Int J Pediatr Otorhinolaryngol. 2010;74(9):1016-20. doi: 10.1016/j.ijporl.2010.05.030.</w:t>
      </w:r>
    </w:p>
    <w:p>
      <w:pPr>
        <w:jc w:val="both"/>
        <w:spacing w:before="60" w:after="60" w:line="276" w:lineRule="auto"/>
      </w:pPr>
      <w:r>
        <w:rPr>
          <w:rFonts w:ascii="Arial" w:hAnsi="Arial"/>
          <w:b/>
          <w:sz w:val="22"/>
        </w:rPr>
        <w:t xml:space="preserve">17. </w:t>
      </w:r>
      <w:r>
        <w:rPr>
          <w:rFonts w:ascii="Arial" w:hAnsi="Arial"/>
          <w:sz w:val="22"/>
        </w:rPr>
        <w:t>Parhiscar A, Har-El G. Deep neck abscess: a retrospective review of 210 cases. Ann Otol Rhinol Laryngol. 2001;110(11):1051-4. doi: 10.1177/000348940111001111.</w:t>
      </w:r>
    </w:p>
    <w:p>
      <w:pPr>
        <w:jc w:val="both"/>
        <w:spacing w:before="60" w:after="60" w:line="276" w:lineRule="auto"/>
      </w:pPr>
      <w:r>
        <w:rPr>
          <w:rFonts w:ascii="Arial" w:hAnsi="Arial"/>
          <w:b/>
          <w:sz w:val="22"/>
        </w:rPr>
        <w:t xml:space="preserve">18. </w:t>
      </w:r>
      <w:r>
        <w:rPr>
          <w:rFonts w:ascii="Arial" w:hAnsi="Arial"/>
          <w:sz w:val="22"/>
        </w:rPr>
        <w:t>Endo S, Murayama F, Hasegawa T, et al. Guideline of surgical management based on diffusion of descending necrotizing mediastinitis. Jpn J Thorac Cardiovasc Surg. 1999;47(1):14-9. doi: 10.1007/BF03217709.</w:t>
      </w:r>
    </w:p>
    <w:p>
      <w:pPr>
        <w:jc w:val="both"/>
        <w:spacing w:before="60" w:after="60" w:line="276" w:lineRule="auto"/>
      </w:pPr>
      <w:r>
        <w:rPr>
          <w:rFonts w:ascii="Arial" w:hAnsi="Arial"/>
          <w:b/>
          <w:sz w:val="22"/>
        </w:rPr>
        <w:t xml:space="preserve">19. </w:t>
      </w:r>
      <w:r>
        <w:rPr>
          <w:rFonts w:ascii="Arial" w:hAnsi="Arial"/>
          <w:sz w:val="22"/>
        </w:rPr>
        <w:t>Riordan T. Human infection with Fusobacterium necrophorum (Necrobacillosis), with a focus on Lemierre's syndrome. Clin Microbiol Rev. 2007;20(4):622-59. doi: 10.1128/CMR.00011-07.</w:t>
      </w:r>
    </w:p>
    <w:p>
      <w:pPr>
        <w:jc w:val="both"/>
        <w:spacing w:before="60" w:after="60" w:line="276" w:lineRule="auto"/>
      </w:pPr>
      <w:r>
        <w:rPr>
          <w:rFonts w:ascii="Arial" w:hAnsi="Arial"/>
          <w:b/>
          <w:sz w:val="22"/>
        </w:rPr>
        <w:t xml:space="preserve">20. </w:t>
      </w:r>
      <w:r>
        <w:rPr>
          <w:rFonts w:ascii="Arial" w:hAnsi="Arial"/>
          <w:sz w:val="22"/>
        </w:rPr>
        <w:t>Kullberg BJ, Arendrup MC. Invasive fungal disease. Br J Haematol. 2015;171(5):617-29. doi: 10.1111/bjh.13614.</w:t>
      </w:r>
    </w:p>
    <w:p>
      <w:pPr>
        <w:jc w:val="both"/>
        <w:spacing w:before="60" w:after="60" w:line="276" w:lineRule="auto"/>
      </w:pPr>
      <w:r>
        <w:rPr>
          <w:rFonts w:ascii="Arial" w:hAnsi="Arial"/>
          <w:b/>
          <w:sz w:val="22"/>
        </w:rPr>
        <w:t xml:space="preserve">21. </w:t>
      </w:r>
      <w:r>
        <w:rPr>
          <w:rFonts w:ascii="Arial" w:hAnsi="Arial"/>
          <w:sz w:val="22"/>
        </w:rPr>
        <w:t>Mariano RC, de Moraes M, Santos FA, et al. Ludwig's Angina: severity, clinical course and outcomes. Oral Maxillofac Surg. 2021;25(3):307-14. doi: 10.1007/s10006-020-00905-5.</w:t>
      </w:r>
    </w:p>
    <w:p>
      <w:pPr>
        <w:jc w:val="both"/>
        <w:spacing w:before="60" w:after="60" w:line="276" w:lineRule="auto"/>
      </w:pPr>
      <w:r>
        <w:rPr>
          <w:rFonts w:ascii="Arial" w:hAnsi="Arial"/>
          <w:b/>
          <w:sz w:val="22"/>
        </w:rPr>
        <w:t xml:space="preserve">22. </w:t>
      </w:r>
      <w:r>
        <w:rPr>
          <w:rFonts w:ascii="Arial" w:hAnsi="Arial"/>
          <w:sz w:val="22"/>
        </w:rPr>
        <w:t>Martins JR, Chagas OL Jr, Weschenfelder F, et al. The use of antibiotics in odontogenic infections: what is the best choice? J Oral Maxillofac Surg. 2017;75(12):2606.e1-2606.e11. doi: 10.1016/j.joms.2017.08.003.</w:t>
      </w:r>
    </w:p>
    <w:p>
      <w:pPr>
        <w:jc w:val="both"/>
        <w:spacing w:before="60" w:after="60" w:line="276" w:lineRule="auto"/>
      </w:pPr>
      <w:r>
        <w:rPr>
          <w:rFonts w:ascii="Arial" w:hAnsi="Arial"/>
          <w:b/>
          <w:sz w:val="22"/>
        </w:rPr>
        <w:t xml:space="preserve">23. </w:t>
      </w:r>
      <w:r>
        <w:rPr>
          <w:rFonts w:ascii="Arial" w:hAnsi="Arial"/>
          <w:sz w:val="22"/>
        </w:rPr>
        <w:t>Pinto A, Scaglione M, Scuderi MG, et al. Infections of the neck leading to descending necrotizing mediastinitis: role of multi-detector row computed tomography. Eur J Radiol. 2008;65(3):389-94. doi: 10.1016/j.ejrad.2007.04.015.</w:t>
      </w:r>
    </w:p>
    <w:p>
      <w:pPr>
        <w:jc w:val="both"/>
        <w:spacing w:before="60" w:after="60" w:line="276" w:lineRule="auto"/>
      </w:pPr>
      <w:r>
        <w:rPr>
          <w:rFonts w:ascii="Arial" w:hAnsi="Arial"/>
          <w:b/>
          <w:sz w:val="22"/>
        </w:rPr>
        <w:t xml:space="preserve">24. </w:t>
      </w:r>
      <w:r>
        <w:rPr>
          <w:rFonts w:ascii="Arial" w:hAnsi="Arial"/>
          <w:sz w:val="22"/>
        </w:rPr>
        <w:t>Simon L, Gauvin F, Amre DK, et al. Serum procalcitonin and C-reactive protein levels as markers of bacterial infection. Clin Infect Dis. 2004;39(2):206-17. doi: 10.1086/421997.</w:t>
      </w:r>
    </w:p>
    <w:p>
      <w:pPr>
        <w:jc w:val="both"/>
        <w:spacing w:before="60" w:after="60" w:line="276" w:lineRule="auto"/>
      </w:pPr>
      <w:r>
        <w:rPr>
          <w:rFonts w:ascii="Arial" w:hAnsi="Arial"/>
          <w:b/>
          <w:sz w:val="22"/>
        </w:rPr>
        <w:t xml:space="preserve">25. </w:t>
      </w:r>
      <w:r>
        <w:rPr>
          <w:rFonts w:ascii="Arial" w:hAnsi="Arial"/>
          <w:sz w:val="22"/>
        </w:rPr>
        <w:t>Marioni G, Rinaldi R, Staffieri C, et al. Deep neck infection with dental origin: analysis of 85 consecutive cases (2000-2006). Acta Otolaryngol. 2008;128(2):201-6. doi: 10.1080/00016480701387077.</w:t>
      </w:r>
    </w:p>
    <w:p>
      <w:r>
        <w:br w:type="page"/>
      </w:r>
    </w:p>
    <w:p>
      <w:pPr>
        <w:pStyle w:val="Heading1"/>
        <w:spacing w:before="240" w:after="120"/>
        <w:pBdr>
          <w:bottom w:val="single" w:sz="8" w:space="4" w:color="2E75B6"/>
        </w:pBdr>
      </w:pPr>
      <w:r>
        <w:t>AUTHORSHIP CONTRIBUTION STATEMENT (CRediT)</w:t>
      </w:r>
    </w:p>
    <w:p>
      <w:pPr>
        <w:jc w:val="both"/>
        <w:spacing w:before="80" w:after="120" w:line="276" w:lineRule="auto"/>
      </w:pPr>
      <w:r>
        <w:rPr>
          <w:rFonts w:ascii="Arial" w:hAnsi="Arial"/>
          <w:b w:val="0"/>
          <w:i w:val="0"/>
          <w:sz w:val="22"/>
        </w:rPr>
        <w:t>In accordance with the CRediT (Contributor Roles Taxonomy), author contributions to this case report are as follows:</w:t>
      </w:r>
    </w:p>
    <w:p>
      <w:pPr>
        <w:jc w:val="left"/>
        <w:spacing w:before="200" w:after="80"/>
      </w:pPr>
      <w:r>
        <w:rPr>
          <w:rFonts w:ascii="Arial" w:hAnsi="Arial"/>
          <w:b/>
          <w:color w:val="1F3864"/>
          <w:sz w:val="22"/>
        </w:rPr>
        <w:t xml:space="preserve">Cuadro 10. </w:t>
      </w:r>
      <w:r>
        <w:rPr>
          <w:rFonts w:ascii="Arial" w:hAnsi="Arial"/>
          <w:sz w:val="22"/>
        </w:rPr>
        <w:t>Author contributions according to CRediT taxonomy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Rol / Role</w:t>
            </w:r>
          </w:p>
        </w:tc>
        <w:tc>
          <w:tcPr>
            <w:tcW w:type="dxa" w:w="170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J.P.</w:t>
            </w:r>
          </w:p>
        </w:tc>
        <w:tc>
          <w:tcPr>
            <w:tcW w:type="dxa" w:w="170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C.A.</w:t>
            </w:r>
          </w:p>
        </w:tc>
        <w:tc>
          <w:tcPr>
            <w:tcW w:type="dxa" w:w="170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H.J.</w:t>
            </w:r>
          </w:p>
        </w:tc>
        <w:tc>
          <w:tcPr>
            <w:tcW w:type="dxa" w:w="1701"/>
            <w:shd w:val="clear" w:color="auto" w:fill="2E75B6"/>
            <w:tcMar>
              <w:top w:w="80" w:type="dxa"/>
              <w:bottom w:w="80" w:type="dxa"/>
              <w:left w:w="120" w:type="dxa"/>
              <w:right w:w="120" w:type="dxa"/>
            </w:tcMar>
            <w:tcBorders>
              <w:top w:val="single" w:sz="6" w:space="0" w:color="2E75B6"/>
              <w:left w:val="single" w:sz="6" w:space="0" w:color="2E75B6"/>
              <w:bottom w:val="single" w:sz="6" w:space="0" w:color="2E75B6"/>
              <w:right w:val="single" w:sz="6" w:space="0" w:color="2E75B6"/>
            </w:tcBorders>
          </w:tcPr>
          <w:p>
            <w:pPr>
              <w:jc w:val="center"/>
              <w:spacing w:before="40" w:after="40"/>
            </w:pPr>
            <w:r>
              <w:rPr>
                <w:rFonts w:ascii="Arial" w:hAnsi="Arial"/>
                <w:b/>
                <w:color w:val="FFFFFF"/>
                <w:sz w:val="20"/>
              </w:rPr>
              <w:t>G.S.</w:t>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Conceptualization</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Data curation</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Formal analysis</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Investigation</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Methodology</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Supervision</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Validation</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Visualization</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Software / Digital analysis</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r>
      <w:tr>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Writing — original draft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c>
          <w:tcPr>
            <w:tcW w:type="dxa" w:w="1881"/>
            <w:shd w:val="clear" w:color="auto" w:fill="FFFFFF"/>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r>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Writing — review &amp; editing</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t>✓</w:t>
            </w:r>
          </w:p>
        </w:tc>
        <w:tc>
          <w:tcPr>
            <w:tcW w:type="dxa" w:w="1881"/>
            <w:shd w:val="clear" w:color="auto" w:fill="EBF3FB"/>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jc w:val="left"/>
              <w:spacing w:before="40" w:after="40"/>
            </w:pPr>
            <w:r>
              <w:rPr>
                <w:rFonts w:ascii="Arial" w:hAnsi="Arial"/>
                <w:sz w:val="20"/>
              </w:rPr>
            </w:r>
          </w:p>
        </w:tc>
      </w:tr>
    </w:tbl>
    <w:p>
      <w:pPr>
        <w:spacing w:before="40" w:after="40"/>
      </w:pPr>
    </w:p>
    <w:p>
      <w:pPr>
        <w:jc w:val="both"/>
        <w:spacing w:before="120" w:after="80" w:line="276" w:lineRule="auto"/>
      </w:pPr>
      <w:r>
        <w:rPr>
          <w:rFonts w:ascii="Arial" w:hAnsi="Arial"/>
          <w:b w:val="0"/>
          <w:i/>
          <w:sz w:val="22"/>
        </w:rPr>
        <w:t>All authors have read and approved the final version of the manuscript for publication.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