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157F8F"/>
          <w:sz w:val="18"/>
          <w:szCs w:val="18"/>
        </w:rPr>
        <w:t xml:space="preserve">GoodWe Challenge 2026 — FIAP</w:t>
      </w:r>
    </w:p>
    <w:p>
      <w:pPr>
        <w:spacing w:after="20"/>
      </w:pPr>
      <w:r>
        <w:rPr>
          <w:b/>
          <w:bCs/>
          <w:color w:val="1F3A5F"/>
          <w:sz w:val="44"/>
          <w:szCs w:val="44"/>
        </w:rPr>
        <w:t xml:space="preserve">GoodWe ChargeGrid Intelligence</w:t>
      </w:r>
    </w:p>
    <w:p>
      <w:pPr>
        <w:spacing w:after="20"/>
      </w:pPr>
      <w:r>
        <w:rPr>
          <w:color w:val="444444"/>
          <w:sz w:val="24"/>
          <w:szCs w:val="24"/>
        </w:rPr>
        <w:t xml:space="preserve">Sprint 4 — Solução Final Integrada e Inovadora GoodWe</w:t>
      </w:r>
    </w:p>
    <w:p>
      <w:pPr>
        <w:spacing w:after="160"/>
      </w:pPr>
      <w:r>
        <w:rPr>
          <w:b/>
          <w:bCs/>
          <w:color w:val="157F8F"/>
          <w:sz w:val="26"/>
          <w:szCs w:val="26"/>
        </w:rPr>
        <w:t xml:space="preserve">Fase 1 — Integração e Funcionamento</w:t>
      </w:r>
    </w:p>
    <w:p>
      <w:pPr>
        <w:pBdr>
          <w:bottom w:val="single" w:color="157F8F" w:sz="12" w:space="1"/>
        </w:pBd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Equipe 7</w:t>
      </w:r>
      <w:r>
        <w:rPr>
          <w:sz w:val="21"/>
          <w:szCs w:val="21"/>
        </w:rPr>
        <w:t xml:space="preserve">  ·  Turma 1CCPX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28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Gabriel Barbosa Furin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572941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Gabriel de Almeida Santos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569395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Herbert Soares de Jesus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571507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Lucas Kiodi Moraca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571004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Renan Fracalossi Mano da Silva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569610</w:t>
            </w:r>
          </w:p>
        </w:tc>
      </w:tr>
    </w:tbl>
    <w:p>
      <w:pPr>
        <w:spacing w:after="40" w:before="160"/>
      </w:pPr>
      <w:r>
        <w:rPr>
          <w:b/>
          <w:bCs/>
          <w:sz w:val="21"/>
          <w:szCs w:val="21"/>
        </w:rPr>
        <w:t xml:space="preserve">Responsável pela Fase 1: </w:t>
      </w:r>
      <w:r>
        <w:rPr>
          <w:sz w:val="21"/>
          <w:szCs w:val="21"/>
        </w:rPr>
        <w:t xml:space="preserve">Gabriel de Almeida Santos (RM 569395)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Entrega: </w:t>
      </w:r>
      <w:r>
        <w:rPr>
          <w:sz w:val="21"/>
          <w:szCs w:val="21"/>
        </w:rPr>
        <w:t xml:space="preserve">15/10/2026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1. Objetivo da Fase 1</w:t>
      </w:r>
    </w:p>
    <w:p>
      <w:pPr>
        <w:spacing w:after="120" w:line="276"/>
      </w:pPr>
      <w:r>
        <w:rPr>
          <w:sz w:val="21"/>
          <w:szCs w:val="21"/>
        </w:rPr>
        <w:t xml:space="preserve">A Fase 1 demonstra o funcionamento integrado do sistema ChargeGrid, apresentando resultados simulados de geração de energia, armazenamento, uso de energia renovável e monitoramento inteligente. Além das evidências de operação, a fase evidencia as tecnologias compatíveis com a GoodWe e conecta a solução aos conteúdos trabalhados na disciplina.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2. Visão do sistema integrado</w:t>
      </w:r>
    </w:p>
    <w:p>
      <w:pPr>
        <w:spacing w:after="120" w:line="276"/>
      </w:pPr>
      <w:r>
        <w:rPr>
          <w:sz w:val="21"/>
          <w:szCs w:val="21"/>
        </w:rPr>
        <w:t xml:space="preserve">O ChargeGrid é um único produto com duas interfaces complementares que operam sobre a mesma lógica de gerenciamento energético — o Energy Engine, responsável pelo Load Balancing (balanceamento de carga) e pelo Peak Shaving (redução de picos de demanda):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Dashboard Web</w:t>
      </w:r>
      <w:r>
        <w:rPr>
          <w:sz w:val="21"/>
          <w:szCs w:val="21"/>
        </w:rPr>
        <w:t xml:space="preserve"> — gestão, monitoramento, balanceamento, logs OCPP, previsão por IA, simulações e faturamento.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Eletroposto 3D</w:t>
      </w:r>
      <w:r>
        <w:rPr>
          <w:sz w:val="21"/>
          <w:szCs w:val="21"/>
        </w:rPr>
        <w:t xml:space="preserve"> — demonstração de uma sessão de recarga e do balanço energético em tempo real (geração solar, bateria/ESS, rede e consumo do prédio).</w:t>
      </w:r>
    </w:p>
    <w:p>
      <w:pPr>
        <w:spacing w:after="120" w:line="276"/>
      </w:pPr>
      <w:r>
        <w:rPr>
          <w:sz w:val="21"/>
          <w:szCs w:val="21"/>
        </w:rPr>
        <w:t xml:space="preserve">A integração se dá pela lógica energética compartilhada: o mesmo motor de decisão coordena geração, armazenamento, rede elétrica e a potência entregue a cada veículo. As duas interfaces são, portanto, representações do mesmo conceito de produto.</w:t>
      </w:r>
    </w:p>
    <w:p>
      <w:pPr>
        <w:spacing w:after="120" w:line="276"/>
      </w:pPr>
      <w:r>
        <w:rPr>
          <w:b/>
          <w:bCs/>
          <w:i/>
          <w:iCs/>
          <w:color w:val="666666"/>
          <w:sz w:val="19"/>
          <w:szCs w:val="19"/>
        </w:rPr>
        <w:t xml:space="preserve">Observação de escopo: </w:t>
      </w:r>
      <w:r>
        <w:rPr>
          <w:i/>
          <w:iCs/>
          <w:color w:val="666666"/>
          <w:sz w:val="19"/>
          <w:szCs w:val="19"/>
        </w:rPr>
        <w:t xml:space="preserve">os resultados apresentados são simulados — trata-se de uma prova de conceito, sem hardware físico ou integração com equipamentos reais nesta fase.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3. Demonstração do funcionamento integrado</w:t>
      </w:r>
    </w:p>
    <w:p>
      <w:pPr>
        <w:spacing w:after="120" w:line="276"/>
      </w:pPr>
      <w:r>
        <w:rPr>
          <w:sz w:val="21"/>
          <w:szCs w:val="21"/>
        </w:rPr>
        <w:t xml:space="preserve">As evidências a seguir são capturas reais das interfaces em execução, comprovando o funcionamento integrado do sistema.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3.1. Geração solar, armazenamento (ESS) e energia renovável — Eletroposto 3D</w:t>
      </w:r>
    </w:p>
    <w:p>
      <w:pPr>
        <w:spacing w:after="120" w:line="276"/>
      </w:pPr>
      <w:r>
        <w:rPr>
          <w:sz w:val="21"/>
          <w:szCs w:val="21"/>
        </w:rPr>
        <w:t xml:space="preserve">Durante uma sessão de recarga no Eletroposto 3D, o Energy Engine coordena em tempo real as fontes de energia. A captura abaixo reúne, em um único painel, os quatro elementos exigidos pela fase: geração solar, armazenamento (Battery ESS com seu nível de carga), percentual renovável e a distribuição inteligente da potência entre os veículos.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 — Eletroposto 3D · Energy Engine em sessão ativa: Solar 28,4 kW · Bateria/ESS 70,0% • 12,0 kW · Renovável 38% · distribuição EV01/EV02/EV03 (demanda total dos VEs 42,5 kW; suprimento disponível 75,4 kW = Solar 28,4 + Rede 35,0 + ESS 12,0) · automação balanceando 85% da demanda.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Geração: </w:t>
      </w:r>
      <w:r>
        <w:rPr>
          <w:sz w:val="21"/>
          <w:szCs w:val="21"/>
        </w:rPr>
        <w:t xml:space="preserve">energia solar ativa (28,4 kW) somada à rede.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Armazenamento: </w:t>
      </w:r>
      <w:r>
        <w:rPr>
          <w:sz w:val="21"/>
          <w:szCs w:val="21"/>
        </w:rPr>
        <w:t xml:space="preserve">Battery ESS fornecendo 12,0 kW com SOC de 70,0%.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Energia renovável: </w:t>
      </w:r>
      <w:r>
        <w:rPr>
          <w:sz w:val="21"/>
          <w:szCs w:val="21"/>
        </w:rPr>
        <w:t xml:space="preserve">38% da energia da sessão de origem renovável.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Monitoramento inteligente: </w:t>
      </w:r>
      <w:r>
        <w:rPr>
          <w:sz w:val="21"/>
          <w:szCs w:val="21"/>
        </w:rPr>
        <w:t xml:space="preserve">o Energy Engine redistribui a potência automaticamente entre os veículos conforme as fontes disponíveis.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3.2. Monitoramento inteligente — Dashboard Web</w:t>
      </w:r>
    </w:p>
    <w:p>
      <w:pPr>
        <w:spacing w:after="120" w:line="276"/>
      </w:pPr>
      <w:r>
        <w:rPr>
          <w:sz w:val="21"/>
          <w:szCs w:val="21"/>
        </w:rPr>
        <w:t xml:space="preserve">O Dashboard Web oferece o monitoramento em tempo real da operação, com indicadores consolidados, eventos operacionais e análises preditivas.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2 — Painel Geral: energia do dia, sessões ativas, faturamento, capacidade da rede e a potência distribuída em tempo real (stream OCPP, limite contratado de 200 kW).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3 — Logs OCPP: terminal de logs simulado em tempo real (8/8 conexões OCPP 1.6J, 99,98% de uptime) com eventos de Peak Shaving e Load Balancing (setChargingProfile, MeterValues).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4 — IA &amp; Previsão: previsão de demanda para os próximos 60 minutos e recomendações automáticas (ativar Peak Shaving, otimização de receita, manutenção).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5 — Estações: 8 pontos de recarga OCPP com status simulado em tempo real (5 carregando, 2 disponíveis, 1 em falha) — potência, tarifa, veículo e progresso por estação.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3.3. Balanceamento de carga e Peak Shaving</w:t>
      </w:r>
    </w:p>
    <w:p>
      <w:pPr>
        <w:spacing w:after="120" w:line="276"/>
      </w:pPr>
      <w:r>
        <w:rPr>
          <w:sz w:val="21"/>
          <w:szCs w:val="21"/>
        </w:rPr>
        <w:t xml:space="preserve">O núcleo técnico do sistema é o algoritmo de Balanceamento Dinâmico (DLB) combinado ao Peak Shaving, que mantêm a soma das cargas dentro do limite contratado da rede.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6 — Balanceamento: Algoritmo de Balanceamento Dinâmico (DLB, weighted round-robin) e o Energy Engine distribuindo a potência entre os veículos com modos Rápido / Econômico / Sustentável.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7 — Simulador de Infraestrutura: comparação SEM ChargeGrid (296 kW, ultrapassagem contratual) × COM ChargeGrid (190 kW, dentro do limite) — redução de pico de 106 kW e economia estimada de R$ 5.300.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3.4. Diferenciais inovadores</w:t>
      </w:r>
    </w:p>
    <w:p>
      <w:pPr>
        <w:spacing w:after="120" w:line="276"/>
      </w:pPr>
      <w:r>
        <w:rPr>
          <w:sz w:val="21"/>
          <w:szCs w:val="21"/>
        </w:rPr>
        <w:t xml:space="preserve">Além da operação básica, o sistema apresenta diferenciais alinhados aos critérios de inovação: análise de viabilidade, assistente virtual e tarifação.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8 — Simulador "E Se...?": inclui geração solar como variável e projeta redução de pico de 62 kW. Os valores de economia (R$ 68.200/mês) e ROI (0,2 mês) exibidos pelo simulador são estimativas NÃO validadas — a Fase 2 aponta inconsistência na fórmula; pelo critério de R$ 50/kW o valor defensável é da ordem de R$ 3.100/mês.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9 — Assistente ChargeGrid: assistente virtual conectado aos dados simulados do sistema, respondendo sobre a carga da rede com os valores do momento da simulação (integração com assistentes virtuais).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10 — Faturamento: receita mensal, participação de PIX e faturas recentes com método de pagamento (PIX/Boleto/Cartão) e status — tarifação da operação.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4. Tecnologias compatíveis GoodWe</w:t>
      </w:r>
    </w:p>
    <w:p>
      <w:pPr>
        <w:spacing w:after="120" w:line="276"/>
      </w:pPr>
      <w:r>
        <w:rPr>
          <w:sz w:val="21"/>
          <w:szCs w:val="21"/>
        </w:rPr>
        <w:t xml:space="preserve">Cada componente simulado no ChargeGrid corresponde a uma categoria real de produto da GoodWe, cujo portfólio reúne inversores solares, baterias de armazenamento, carregador de veículos elétricos e software de monitoramento. O quadro abaixo relaciona a simulação às tecnologias GoodWe que a tornariam viável fisicamente.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700"/>
        <w:gridCol w:w="3360"/>
        <w:gridCol w:w="3300"/>
      </w:tblGrid>
      <w:tr>
        <w:trPr>
          <w:tblHeader/>
        </w:trPr>
        <w:tc>
          <w:tcPr>
            <w:tcW w:type="dxa" w:w="27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 no ChargeGrid</w:t>
            </w:r>
          </w:p>
        </w:tc>
        <w:tc>
          <w:tcPr>
            <w:tcW w:type="dxa" w:w="33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 GoodWe compatível</w:t>
            </w:r>
          </w:p>
        </w:tc>
        <w:tc>
          <w:tcPr>
            <w:tcW w:type="dxa" w:w="33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na solução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Geração solar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Inversores solares GoodWe (grid-tied / híbridos)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Convertem a energia fotovoltaica que abastece a recarga e o prédio.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Armazenamento (Battery ESS)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Baterias de armazenamento GoodWe (linha Lynx Home; armazenamento residencial e C&amp;I)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Buffer de energia (SOC) que complementa a rede nos picos de demanda.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Recarga de veículos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Carregador EV GoodWe (AC EV Charger)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Recarrega os veículos aproveitando a energia solar, reduzindo a pegada de carbono.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Monitoramento e visualização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GoodWe SEMS Portal (plataforma web + aplicativo)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Monitoramento em tempo real de geração, consumo e bateria — análogo ao Dashboard Web.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Gestão inteligente de energia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Ecossistema GoodWe (inversor híbrido + ESS + SEMS)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Coordenação entre geração, armazenamento, rede e cargas — o que o Energy Engine simula.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5. Relação com os conteúdos da disciplina</w:t>
      </w:r>
    </w:p>
    <w:p>
      <w:pPr>
        <w:spacing w:after="120" w:line="276"/>
      </w:pPr>
      <w:r>
        <w:rPr>
          <w:sz w:val="21"/>
          <w:szCs w:val="21"/>
        </w:rPr>
        <w:t xml:space="preserve">A solução aplica diretamente os conceitos trabalhados ao longo da disciplina: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 da disciplina</w:t>
            </w:r>
          </w:p>
        </w:tc>
        <w:tc>
          <w:tcPr>
            <w:tcW w:type="dxa" w:w="6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se aplica no ChargeGrid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Lógica e tomada de decisão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Regras de distribuição de potência e controle de demanda.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Automação / IoT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Coleta de dados e atuação automática sobre as cargas.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Gestão de estações e sessões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Monitoramento de carregadores, veículos e sessões ativas.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Logs operacionais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Eventos com nomenclatura inspirada no padrão OCPP.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Load Balancing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Distribuição da potência disponível entre múltiplos veículos.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Peak Shaving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Redução da demanda em períodos de pico.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Geração solar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Fonte renovável integrada ao cenário energético.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Battery ESS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Armazenamento energético como buffer de demanda.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Sustentabilidade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Melhor aproveitamento das fontes e da infraestrutura existente.</w:t>
            </w:r>
          </w:p>
        </w:tc>
      </w:tr>
      <w:tr>
        <w:trPr>
          <w:tblHeader w:val="false"/>
        </w:trPr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Eficiência energética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Coordenação entre consumo, geração, armazenamento e recarga.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6. Observações sobre o escopo</w:t>
      </w:r>
    </w:p>
    <w:p>
      <w:pPr>
        <w:spacing w:after="120" w:line="276"/>
      </w:pPr>
      <w:r>
        <w:rPr>
          <w:sz w:val="21"/>
          <w:szCs w:val="21"/>
        </w:rPr>
        <w:t xml:space="preserve">Em coerência com a proposta de prova de conceito, todos os valores de potência, energia, custo e indicadores são simulados e demonstrativos. Não há, nesta fase, hardware físico, backend de produção ou integração real com equipamentos GoodWe; os logs são inspirados no padrão OCPP, sem comunicação OCPP real. As evidências comprovam o funcionamento integrado da lógica do sistema e sua aderência ao desafio GoodWe.</w:t>
      </w:r>
    </w:p>
    <w:p>
      <w:pPr>
        <w:pBdr>
          <w:bottom w:val="single" w:color="157F8F" w:sz="12" w:space="1"/>
        </w:pBdr>
        <w:spacing w:after="160"/>
      </w:pPr>
      <w:r>
        <w:t xml:space="preserve"/>
      </w:r>
    </w:p>
    <w:p>
      <w:pPr>
        <w:jc w:val="center"/>
      </w:pPr>
      <w:r>
        <w:rPr>
          <w:color w:val="666666"/>
          <w:sz w:val="16"/>
          <w:szCs w:val="16"/>
        </w:rPr>
        <w:t xml:space="preserve">ChargeGrid Intelligence · GoodWe Challenge 2026 · FIAP · Equipe 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43e24519cd6950f82001c56f656f69f81d2d19.jpg"/><Relationship Id="rId8" Type="http://schemas.openxmlformats.org/officeDocument/2006/relationships/image" Target="media/623633f4f1ba48d4e2e03ba7acfdb23cf00bb98f.jpg"/><Relationship Id="rId9" Type="http://schemas.openxmlformats.org/officeDocument/2006/relationships/image" Target="media/1b3d7e221ad092679fef45dab92b2aa58431fbec.jpg"/><Relationship Id="rId10" Type="http://schemas.openxmlformats.org/officeDocument/2006/relationships/image" Target="media/60505509be13895f52272531f1eaafef350cc63e.jpg"/><Relationship Id="rId11" Type="http://schemas.openxmlformats.org/officeDocument/2006/relationships/image" Target="media/4a5327d3d8a97ec84ab05ee3f339b64a578e52e4.jpg"/><Relationship Id="rId12" Type="http://schemas.openxmlformats.org/officeDocument/2006/relationships/image" Target="media/ae58c098da2c0233d718150c9010c0e36ad27df8.jpg"/><Relationship Id="rId13" Type="http://schemas.openxmlformats.org/officeDocument/2006/relationships/image" Target="media/a2dc7f959fb9ce9aa46459361fe7bdcbdf3fffcb.jpg"/><Relationship Id="rId14" Type="http://schemas.openxmlformats.org/officeDocument/2006/relationships/image" Target="media/8548f8ba0bf24625b5fce1cf0331ea13f9d5f34b.jpg"/><Relationship Id="rId15" Type="http://schemas.openxmlformats.org/officeDocument/2006/relationships/image" Target="media/26705cdbaee170eae6974a3143dd20b946a041e8.jpg"/><Relationship Id="rId16" Type="http://schemas.openxmlformats.org/officeDocument/2006/relationships/image" Target="media/b1b88520a2350981c30091c1e331b65fb8b11e8a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2026-10-06T13:58:49.815Z</dcterms:created>
  <dcterms:modified xsi:type="dcterms:W3CDTF">2026-10-06T13:58:49.820Z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