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1435B"/>
          <w:sz w:val="48"/>
        </w:rPr>
        <w:t>CHARGEGRID INTELLIGENCE</w:t>
      </w:r>
    </w:p>
    <w:p>
      <w:pPr>
        <w:jc w:val="center"/>
      </w:pPr>
      <w:r>
        <w:rPr>
          <w:color w:val="146E73"/>
          <w:sz w:val="24"/>
        </w:rPr>
        <w:t>Documentação Técnica Final | Challenge FIAP + GoodWe 2026</w:t>
      </w:r>
    </w:p>
    <w:p>
      <w:pPr>
        <w:jc w:val="center"/>
      </w:pPr>
      <w:r>
        <w:rPr>
          <w:i/>
        </w:rPr>
        <w:t>Sprint 4 — Solução Final Integrada e Inovadora</w:t>
        <w:br/>
        <w:t>Equipe 7 · Turma 1CCPX · Entrega indicada: 15/10/2026</w:t>
      </w:r>
    </w:p>
    <w:p>
      <w:pPr>
        <w:pStyle w:val="Subtitle"/>
      </w:pPr>
      <w:r>
        <w:t>Natureza: prova de conceito acadêmica baseada em simulação.</w:t>
      </w:r>
    </w:p>
    <w:p>
      <w:pPr>
        <w:spacing w:after="80"/>
      </w:pPr>
      <w:r>
        <w:t>Equipe: 7 · Turma: 1CCPX · Entrega indicada: 15/10/2026</w:t>
      </w:r>
    </w:p>
    <w:p>
      <w:pPr>
        <w:spacing w:after="80"/>
      </w:pPr>
      <w:r>
        <w:t>Natureza: prova de conceito acadêmica baseada em simulação.</w:t>
      </w:r>
    </w:p>
    <w:p>
      <w:pPr>
        <w:pStyle w:val="Heading1"/>
      </w:pPr>
      <w:r>
        <w:t>1. Resumo executivo</w:t>
      </w:r>
    </w:p>
    <w:p>
      <w:pPr>
        <w:spacing w:after="80"/>
      </w:pPr>
      <w:r>
        <w:t>O ChargeGrid Intelligence é uma proposta de gestão inteligente de energia para infraestrutura de recarga de veículos elétricos. A prova de conceito reúne uma interface de monitoramento, uma representação tridimensional do eletroposto e uma camada lógica chamada Energy Engine. O objetivo é demonstrar, em cenários simulados, como o balanceamento dinâmico de cargas e estratégias de Peak Shaving podem ajudar a distribuir a potência disponível, considerando geração fotovoltaica, armazenamento de energia e demanda do edifício.</w:t>
      </w:r>
    </w:p>
    <w:p>
      <w:pPr>
        <w:spacing w:after="80"/>
      </w:pPr>
      <w:r>
        <w:t>O projeto foi desenvolvido no contexto do Challenge FIAP em parceria com a GoodWe. A relação com tecnologias GoodWe é uma referência de arquitetura e de ecossistema, não uma alegação de conexão operacional com produtos reais.</w:t>
      </w:r>
    </w:p>
    <w:p>
      <w:pPr>
        <w:pStyle w:val="Heading1"/>
      </w:pPr>
      <w:r>
        <w:t>2. Problema e objetivo</w:t>
      </w:r>
    </w:p>
    <w:p>
      <w:pPr>
        <w:spacing w:after="80"/>
      </w:pPr>
      <w:r>
        <w:t>A conexão simultânea de diversos veículos elétricos pode elevar a demanda de potência de uma instalação. Sem gestão coordenada, isso pode contribuir para picos de demanda e exigir avaliação da capacidade elétrica disponível. O ChargeGrid propõe representar uma camada de inteligência que distribui a potência entre carregadores e considera recursos energéticos disponíveis.</w:t>
      </w:r>
    </w:p>
    <w:p>
      <w:pPr>
        <w:spacing w:after="80"/>
      </w:pPr>
      <w:r>
        <w:t>Objetivos específicos</w:t>
      </w:r>
    </w:p>
    <w:p>
      <w:pPr>
        <w:pStyle w:val="ListBullet"/>
      </w:pPr>
      <w:r>
        <w:t>Integrar visualmente os componentes demonstrativos do protótipo.</w:t>
      </w:r>
    </w:p>
    <w:p>
      <w:pPr>
        <w:pStyle w:val="ListBullet"/>
      </w:pPr>
      <w:r>
        <w:t>Monitorar indicadores simulados de geração, armazenamento e consumo.</w:t>
      </w:r>
    </w:p>
    <w:p>
      <w:pPr>
        <w:pStyle w:val="ListBullet"/>
      </w:pPr>
      <w:r>
        <w:t>Demonstrar balanceamento de cargas e redução de picos.</w:t>
      </w:r>
    </w:p>
    <w:p>
      <w:pPr>
        <w:pStyle w:val="ListBullet"/>
      </w:pPr>
      <w:r>
        <w:t>Avaliar possíveis benefícios energéticos e ambientais com premissas explícitas.</w:t>
      </w:r>
    </w:p>
    <w:p>
      <w:pPr>
        <w:pStyle w:val="ListBullet"/>
      </w:pPr>
      <w:r>
        <w:t>Registrar limitações e próximos passos para uma futura validação.</w:t>
      </w:r>
    </w:p>
    <w:p>
      <w:pPr>
        <w:pStyle w:val="Heading1"/>
      </w:pPr>
      <w:r>
        <w:t>3. Arquitetura proposta</w:t>
      </w:r>
    </w:p>
    <w:p>
      <w:pPr>
        <w:pStyle w:val="Heading2"/>
      </w:pPr>
      <w:r>
        <w:t>3.1 Dashboard web</w:t>
      </w:r>
    </w:p>
    <w:p>
      <w:pPr>
        <w:spacing w:after="80"/>
      </w:pPr>
      <w:r>
        <w:t>Apresenta indicadores e visualizações de geração solar, armazenamento, potência demandada, distribuição entre carregadores, cenários e eventos simulados.</w:t>
      </w:r>
    </w:p>
    <w:p>
      <w:pPr>
        <w:pStyle w:val="Heading2"/>
      </w:pPr>
      <w:r>
        <w:t>3.2 Eletroposto 3D</w:t>
      </w:r>
    </w:p>
    <w:p>
      <w:pPr>
        <w:spacing w:after="80"/>
      </w:pPr>
      <w:r>
        <w:t>Representa visualmente a infraestrutura de carregamento e complementa a interface de monitoramento. A visualização tridimensional é demonstrativa.</w:t>
      </w:r>
    </w:p>
    <w:p>
      <w:pPr>
        <w:pStyle w:val="Heading2"/>
      </w:pPr>
      <w:r>
        <w:t>3.3 Energy Engine</w:t>
      </w:r>
    </w:p>
    <w:p>
      <w:pPr>
        <w:spacing w:after="80"/>
      </w:pPr>
      <w:r>
        <w:t>Camada lógica conceitual responsável por calcular ou representar a distribuição de potência disponível entre carregadores. A proposta inclui estratégias de Load Balancing e Peak Shaving, considerando as variáveis presentes nos cenários simulados.</w:t>
      </w:r>
    </w:p>
    <w:p>
      <w:pPr>
        <w:pStyle w:val="Heading2"/>
      </w:pPr>
      <w:r>
        <w:t>3.4 Ecossistema energético</w:t>
      </w:r>
    </w:p>
    <w:p>
      <w:pPr>
        <w:spacing w:after="80"/>
      </w:pPr>
      <w:r>
        <w:t>O cenário documentado considera geração solar, bateria/ESS, rede elétrica, demanda do edifício e veículos elétricos. A arquitetura faz referência conceitual a tecnologias GoodWe, como carregadores, inversores, armazenamento e plataformas de monitoramento, sem afirmar que esses equipamentos estejam conectados ao protótipo.</w:t>
      </w:r>
    </w:p>
    <w:p>
      <w:pPr>
        <w:pStyle w:val="Heading2"/>
      </w:pPr>
      <w:r>
        <w:t>3.5 Protocolos e automação</w:t>
      </w:r>
    </w:p>
    <w:p>
      <w:pPr>
        <w:spacing w:after="80"/>
      </w:pPr>
      <w:r>
        <w:t>Os registros apresentados como inspirados em OCPP e os indicadores de automação são demonstrativos. Não se deve inferir que há sessão OCPP real, conexão SEMS Portal/SEMS+ ou comunicação com carregadores físicos, a menos que isso seja comprovado por implementação adicional.</w:t>
      </w:r>
    </w:p>
    <w:p>
      <w:pPr>
        <w:pStyle w:val="Heading1"/>
      </w:pPr>
      <w:r>
        <w:t>4. Funcionamento demonstrado</w:t>
      </w:r>
    </w:p>
    <w:p>
      <w:pPr>
        <w:spacing w:after="80"/>
      </w:pPr>
      <w:r>
        <w:t>O fluxo conceitual pode ser resumido em:</w:t>
      </w:r>
    </w:p>
    <w:p>
      <w:pPr>
        <w:pStyle w:val="ListNumber"/>
      </w:pPr>
      <w:r>
        <w:t>Carregar ou definir um cenário de geração, armazenamento e demanda.</w:t>
      </w:r>
    </w:p>
    <w:p>
      <w:pPr>
        <w:pStyle w:val="ListNumber"/>
      </w:pPr>
      <w:r>
        <w:t>Exibir os indicadores energéticos no dashboard.</w:t>
      </w:r>
    </w:p>
    <w:p>
      <w:pPr>
        <w:pStyle w:val="ListNumber"/>
      </w:pPr>
      <w:r>
        <w:t>Distribuir a potência disponível entre os veículos/carregadores por meio da lógica proposta.</w:t>
      </w:r>
    </w:p>
    <w:p>
      <w:pPr>
        <w:pStyle w:val="ListNumber"/>
      </w:pPr>
      <w:r>
        <w:t>Comparar a demanda de referência com o cenário gerenciado.</w:t>
      </w:r>
    </w:p>
    <w:p>
      <w:pPr>
        <w:pStyle w:val="ListNumber"/>
      </w:pPr>
      <w:r>
        <w:t>Exibir indicadores e registros que apoiam a análise do resultado.</w:t>
      </w:r>
    </w:p>
    <w:p>
      <w:pPr>
        <w:spacing w:after="80"/>
      </w:pPr>
      <w:r>
        <w:t>Esse fluxo descreve a prova de conceito e deve ser ajustado se a versão final do código demonstrar um comportamento diferente.</w:t>
      </w:r>
    </w:p>
    <w:p>
      <w:pPr>
        <w:pStyle w:val="Heading1"/>
      </w:pPr>
      <w:r>
        <w:t>5. Resultados e indicadores</w:t>
      </w:r>
    </w:p>
    <w:p>
      <w:pPr>
        <w:pStyle w:val="Heading2"/>
      </w:pPr>
      <w:r>
        <w:t>5.1 Redução de pico</w:t>
      </w:r>
    </w:p>
    <w:p>
      <w:pPr>
        <w:spacing w:after="80"/>
      </w:pPr>
      <w:r>
        <w:t>Um cenário documentado compara 296 kW de demanda de referência com 190 kW no cenário gerenciado.</w:t>
      </w:r>
    </w:p>
    <w:p>
      <w:pPr>
        <w:pStyle w:val="ListBullet"/>
      </w:pPr>
      <w:r>
        <w:t>Diferença: 106 kW</w:t>
      </w:r>
    </w:p>
    <w:p>
      <w:pPr>
        <w:pStyle w:val="ListBullet"/>
      </w:pPr>
      <w:r>
        <w:t>Redução relativa: aproximadamente 35,8%</w:t>
      </w:r>
    </w:p>
    <w:p>
      <w:pPr>
        <w:spacing w:after="80"/>
      </w:pPr>
      <w:r>
        <w:t>Cálculo: (296 − 190) / 296 × 100 ≈ 35,8%.</w:t>
      </w:r>
    </w:p>
    <w:p>
      <w:pPr>
        <w:spacing w:after="80"/>
      </w:pPr>
      <w:r>
        <w:t>Esses valores são resultados do cenário simulado descrito nas fases anteriores. Não são medições de campo e não comprovam, isoladamente, que a instalação possa operar sem reforço de rede.</w:t>
      </w:r>
    </w:p>
    <w:p>
      <w:pPr>
        <w:pStyle w:val="Heading2"/>
      </w:pPr>
      <w:r>
        <w:t>5.2 Geração renovável e armazenamento</w:t>
      </w:r>
    </w:p>
    <w:p>
      <w:pPr>
        <w:spacing w:after="80"/>
      </w:pPr>
      <w:r>
        <w:t>A Fase 1 apresenta um cenário com geração solar de 28,4 kW, armazenamento com 70% de SOC e potência indicada de 12 kW, além de participação renovável indicada de 38%. Esses números devem permanecer vinculados ao cenário e à tela em que foram obtidos; não devem ser somados ou comparados com valores de outra simulação sem explicitar diferenças de premissas.</w:t>
      </w:r>
    </w:p>
    <w:p>
      <w:pPr>
        <w:pStyle w:val="Heading2"/>
      </w:pPr>
      <w:r>
        <w:t>5.3 Divergências entre cenários</w:t>
      </w:r>
    </w:p>
    <w:p>
      <w:pPr>
        <w:spacing w:after="80"/>
      </w:pPr>
      <w:r>
        <w:t>Os materiais das fases anteriores mostram valores como 42,5 kW para distribuição entre veículos e 75,4 kW para uma composição de fornecimento energético. A documentação disponível não permite concluir que ambos descrevam exatamente o mesmo instante ou o mesmo conjunto de cargas. Portanto:</w:t>
      </w:r>
    </w:p>
    <w:p>
      <w:pPr>
        <w:pStyle w:val="ListBullet"/>
      </w:pPr>
      <w:r>
        <w:t>identificar cada valor pelo nome do cenário, pelos componentes incluídos e pelo momento da simulação;</w:t>
      </w:r>
    </w:p>
    <w:p>
      <w:pPr>
        <w:pStyle w:val="ListBullet"/>
      </w:pPr>
      <w:r>
        <w:t>revisar legendas e unidades nas figuras;</w:t>
      </w:r>
    </w:p>
    <w:p>
      <w:pPr>
        <w:pStyle w:val="ListBullet"/>
      </w:pPr>
      <w:r>
        <w:t>não apresentar os valores como diretamente comparáveis até que a equipe confirme a origem.</w:t>
      </w:r>
    </w:p>
    <w:p>
      <w:pPr>
        <w:pStyle w:val="Heading2"/>
      </w:pPr>
      <w:r>
        <w:t>5.4 Economia e retorno financeiro</w:t>
      </w:r>
    </w:p>
    <w:p>
      <w:pPr>
        <w:spacing w:after="80"/>
      </w:pPr>
      <w:r>
        <w:t>A Fase 2 identifica uma inconsistência na estimativa de R$ 68.200/mês e retorno de 0,2 mês. Por isso, tais números não são apresentados aqui como resultados validados. A documentação anterior também usa uma premissa de R$ 50 por kW para estimar impacto econômico; essa premissa deve ser descrita como hipótese simplificada, não como tarifa universal ou economia garantida. A economia real depende da modalidade tarifária, demanda contratada, regras de ultrapassagem, período de medição e perfil de uso.</w:t>
      </w:r>
    </w:p>
    <w:p>
      <w:pPr>
        <w:pStyle w:val="Heading1"/>
      </w:pPr>
      <w:r>
        <w:t>6. Sustentabilidade</w:t>
      </w:r>
    </w:p>
    <w:p>
      <w:pPr>
        <w:spacing w:after="80"/>
      </w:pPr>
      <w:r>
        <w:t>A Fase 2 estima emissões evitadas a partir de consumo energético por quilômetro e fatores de emissão de veículos a combustão e elétricos. O documento reporta, sob as premissas escolhidas, uma estimativa de aproximadamente 877 kg CO₂e/dia ou 320 t CO₂e/ano para a comparação veicular. Esses números devem ser apresentados exclusivamente como estimativas modeladas; não representam emissões medidas pelo protótipo e precisam ser validados contra as referências originais, a composição da frota, a quilometragem e os limites do cálculo.</w:t>
      </w:r>
    </w:p>
    <w:p>
      <w:pPr>
        <w:spacing w:after="80"/>
      </w:pPr>
      <w:r>
        <w:t>A Fase 2 também apresenta uma estimativa separada relacionada ao fator de emissão do Sistema Interligado Nacional e ao uso de energia solar. Como essa análise utiliza outra fronteira de cálculo, ela não deve ser somada à estimativa veicular sem metodologia explícita para evitar dupla contagem.</w:t>
      </w:r>
    </w:p>
    <w:p>
      <w:pPr>
        <w:spacing w:after="80"/>
      </w:pPr>
      <w:r>
        <w:t>A proposta relaciona-se aos ODS 7 (Energia Limpa e Acessível), 11 (Cidades e Comunidades Sustentáveis) e 13 (Ação Contra a Mudança Global do Clima).</w:t>
      </w:r>
    </w:p>
    <w:p>
      <w:pPr>
        <w:pStyle w:val="Heading1"/>
      </w:pPr>
      <w:r>
        <w:t>7. Diferenciais da proposta</w:t>
      </w:r>
    </w:p>
    <w:p>
      <w:pPr>
        <w:pStyle w:val="ListBullet"/>
      </w:pPr>
      <w:r>
        <w:t>Balanceamento dinâmico da potência entre carregadores.</w:t>
      </w:r>
    </w:p>
    <w:p>
      <w:pPr>
        <w:pStyle w:val="ListBullet"/>
      </w:pPr>
      <w:r>
        <w:t>Estratégia de redução de picos (*Peak Shaving*).</w:t>
      </w:r>
    </w:p>
    <w:p>
      <w:pPr>
        <w:pStyle w:val="ListBullet"/>
      </w:pPr>
      <w:r>
        <w:t>Consideração conceitual de geração solar e armazenamento.</w:t>
      </w:r>
    </w:p>
    <w:p>
      <w:pPr>
        <w:pStyle w:val="ListBullet"/>
      </w:pPr>
      <w:r>
        <w:t>Dashboard com visualização de indicadores e comparação de cenários.</w:t>
      </w:r>
    </w:p>
    <w:p>
      <w:pPr>
        <w:pStyle w:val="ListBullet"/>
      </w:pPr>
      <w:r>
        <w:t>Representação tridimensional da infraestrutura.</w:t>
      </w:r>
    </w:p>
    <w:p>
      <w:pPr>
        <w:pStyle w:val="ListBullet"/>
      </w:pPr>
      <w:r>
        <w:t>Possibilidade de explorar modos de operação e previsão de demanda, conforme os recursos efetivamente demonstrados.</w:t>
      </w:r>
    </w:p>
    <w:p>
      <w:pPr>
        <w:pStyle w:val="ListBullet"/>
      </w:pPr>
      <w:r>
        <w:t>Documentação explícita das premissas e limitações da simulação.</w:t>
      </w:r>
    </w:p>
    <w:p>
      <w:pPr>
        <w:pStyle w:val="Heading1"/>
      </w:pPr>
      <w:r>
        <w:t>8. Viabilidade e limitações</w:t>
      </w:r>
    </w:p>
    <w:p>
      <w:pPr>
        <w:spacing w:after="80"/>
      </w:pPr>
      <w:r>
        <w:t>A proposta é tecnicamente plausível como arquitetura conceitual, mas a viabilidade de implantação ainda não foi comprovada. São necessários dimensionamento elétrico, análise de demanda e tarifas, validação dos equipamentos compatíveis, testes de segurança, integração real com os sistemas de gestão, avaliação de cibersegurança e um piloto com dados medidos.</w:t>
      </w:r>
    </w:p>
    <w:p>
      <w:pPr>
        <w:spacing w:after="80"/>
      </w:pPr>
      <w:r>
        <w:t>Limitações conhecidas</w:t>
      </w:r>
    </w:p>
    <w:p>
      <w:pPr>
        <w:pStyle w:val="ListBullet"/>
      </w:pPr>
      <w:r>
        <w:t>Os valores de potência e os resultados são simulados.</w:t>
      </w:r>
    </w:p>
    <w:p>
      <w:pPr>
        <w:pStyle w:val="ListBullet"/>
      </w:pPr>
      <w:r>
        <w:t>Não há comprovação de conexão física a carregadores, inversores ou baterias.</w:t>
      </w:r>
    </w:p>
    <w:p>
      <w:pPr>
        <w:pStyle w:val="ListBullet"/>
      </w:pPr>
      <w:r>
        <w:t>OCPP é usado como referência para registros; a comunicação real não está demonstrada.</w:t>
      </w:r>
    </w:p>
    <w:p>
      <w:pPr>
        <w:pStyle w:val="ListBullet"/>
      </w:pPr>
      <w:r>
        <w:t>Não há integração operacional confirmada com SEMS Portal/SEMS+.</w:t>
      </w:r>
    </w:p>
    <w:p>
      <w:pPr>
        <w:pStyle w:val="ListBullet"/>
      </w:pPr>
      <w:r>
        <w:t>As estimativas econômicas e ambientais dependem de hipóteses e fontes externas.</w:t>
      </w:r>
    </w:p>
    <w:p>
      <w:pPr>
        <w:pStyle w:val="ListBullet"/>
      </w:pPr>
      <w:r>
        <w:t>A divergência de cenários 42,5 kW/75,4 kW precisa de identificação explícita nas figuras originais.</w:t>
      </w:r>
    </w:p>
    <w:p>
      <w:pPr>
        <w:pStyle w:val="Heading1"/>
      </w:pPr>
      <w:r>
        <w:t>9. Próximos passos</w:t>
      </w:r>
    </w:p>
    <w:p>
      <w:pPr>
        <w:pStyle w:val="ListNumber"/>
      </w:pPr>
      <w:r>
        <w:t>Conferir que todos os gráficos indiquem cenário, unidade, período e componentes incluídos.</w:t>
      </w:r>
    </w:p>
    <w:p>
      <w:pPr>
        <w:pStyle w:val="ListNumber"/>
      </w:pPr>
      <w:r>
        <w:t>Revisar a origem dos valores de 42,5 kW e 75,4 kW com os responsáveis pelos documentos.</w:t>
      </w:r>
    </w:p>
    <w:p>
      <w:pPr>
        <w:pStyle w:val="ListNumber"/>
      </w:pPr>
      <w:r>
        <w:t>Corrigir ou remover a estimativa de ROI não validada.</w:t>
      </w:r>
    </w:p>
    <w:p>
      <w:pPr>
        <w:pStyle w:val="ListNumber"/>
      </w:pPr>
      <w:r>
        <w:t>Validar as fontes bibliográficas completas dos fatores de emissão.</w:t>
      </w:r>
    </w:p>
    <w:p>
      <w:pPr>
        <w:pStyle w:val="ListNumber"/>
      </w:pPr>
      <w:r>
        <w:t>Testar a solução com dados medidos e, futuramente, em ambiente piloto.</w:t>
      </w:r>
    </w:p>
    <w:p>
      <w:pPr>
        <w:pStyle w:val="ListNumber"/>
      </w:pPr>
      <w:r>
        <w:t>Avaliar integração real, segurança, tarifação e custos de implantação.</w:t>
      </w:r>
    </w:p>
    <w:p>
      <w:pPr>
        <w:pStyle w:val="Heading1"/>
      </w:pPr>
      <w:r>
        <w:t>10. Entrega e vídeo</w:t>
      </w:r>
    </w:p>
    <w:p>
      <w:pPr>
        <w:spacing w:after="80"/>
      </w:pPr>
      <w:r>
        <w:t>Vídeo técnico (até 5 minutos): https://youtu.be/Mh6m9RmmPfA</w:t>
      </w:r>
    </w:p>
    <w:p>
      <w:pPr>
        <w:spacing w:after="80"/>
      </w:pPr>
      <w:r>
        <w:t>O link deve ser substituído pelo endereço final compartilhável e testado em janela anônima ou com uma conta sem acesso de edição. A documentação deve ser mantida junto ao código no repositório Sprint 3 usado como base para a entrega Sprint 4.</w:t>
      </w:r>
    </w:p>
    <w:p>
      <w:pPr>
        <w:pStyle w:val="Heading1"/>
      </w:pPr>
      <w:r>
        <w:t>11. Referências</w:t>
      </w:r>
    </w:p>
    <w:p>
      <w:pPr>
        <w:pStyle w:val="ListBullet"/>
      </w:pPr>
      <w:r>
        <w:t>GoodWe. Materiais institucionais e informações sobre soluções de energia e carregamento. https://en.goodwe.com/</w:t>
      </w:r>
    </w:p>
    <w:p>
      <w:pPr>
        <w:pStyle w:val="ListBullet"/>
      </w:pPr>
      <w:r>
        <w:t>Open Charge Alliance. Informações sobre o protocolo OCPP. https://openchargealliance.org/</w:t>
      </w:r>
    </w:p>
    <w:p>
      <w:pPr>
        <w:pStyle w:val="ListBullet"/>
      </w:pPr>
      <w:r>
        <w:t>International Council on Clean Transportation (ICCT). Estudos sobre veículos e emissões. https://theicct.org/</w:t>
      </w:r>
    </w:p>
    <w:p>
      <w:pPr>
        <w:pStyle w:val="ListBullet"/>
      </w:pPr>
      <w:r>
        <w:t>Agência Nacional de Energia Elétrica (ANEEL). Regulação e informações ao consumidor. https://www.gov.br/aneel/</w:t>
      </w:r>
    </w:p>
    <w:p>
      <w:pPr>
        <w:pStyle w:val="ListBullet"/>
      </w:pPr>
      <w:r>
        <w:t>Nações Unidas Brasil. Objetivos de Desenvolvimento Sustentável. https://brasil.un.org/pt-br/sdgs</w:t>
      </w:r>
    </w:p>
    <w:p>
      <w:pPr>
        <w:pStyle w:val="ListBullet"/>
      </w:pPr>
      <w:r>
        <w:t>Documentação interna do projeto: Fase 1 — Integração e Funcionamento; Fase 2 — Sustentabilidade e Inovação. Completar/confirmar as referências específicas citadas nesses documentos antes da apresentação final dos fatores quantitativos.</w:t>
      </w:r>
    </w:p>
    <w:p>
      <w:r>
        <w:br w:type="page"/>
      </w:r>
    </w:p>
    <w:p>
      <w:pPr>
        <w:spacing w:after="80"/>
      </w:pPr>
      <w:r>
        <w:t>Nota de transparência: esta documentação descreve uma prova de conceito acadêmica. Resultados simulados não equivalem a desempenho real, validação comercial ou certificação de produto.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color w:val="2A3441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1435B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46E73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1435B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