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157F8F"/>
          <w:sz w:val="18"/>
          <w:szCs w:val="18"/>
        </w:rPr>
        <w:t xml:space="preserve">GoodWe Challenge 2026 — FIAP</w:t>
      </w:r>
    </w:p>
    <w:p>
      <w:pPr>
        <w:spacing w:after="20"/>
      </w:pPr>
      <w:r>
        <w:rPr>
          <w:b/>
          <w:bCs/>
          <w:color w:val="1F3A5F"/>
          <w:sz w:val="44"/>
          <w:szCs w:val="44"/>
        </w:rPr>
        <w:t xml:space="preserve">GoodWe ChargeGrid Intelligence</w:t>
      </w:r>
    </w:p>
    <w:p>
      <w:pPr>
        <w:spacing w:after="20"/>
      </w:pPr>
      <w:r>
        <w:rPr>
          <w:color w:val="444444"/>
          <w:sz w:val="24"/>
          <w:szCs w:val="24"/>
        </w:rPr>
        <w:t xml:space="preserve">Sprint 4 — Solução Final Integrada e Inovadora GoodWe</w:t>
      </w:r>
    </w:p>
    <w:p>
      <w:pPr>
        <w:spacing w:after="160"/>
      </w:pPr>
      <w:r>
        <w:rPr>
          <w:b/>
          <w:bCs/>
          <w:color w:val="157F8F"/>
          <w:sz w:val="26"/>
          <w:szCs w:val="26"/>
        </w:rPr>
        <w:t xml:space="preserve">Fase 2 — Sustentabilidade e Inovação</w:t>
      </w:r>
    </w:p>
    <w:p>
      <w:pPr>
        <w:pBdr>
          <w:bottom w:val="single" w:color="157F8F" w:sz="12" w:space="1"/>
        </w:pBdr>
        <w:spacing w:after="160"/>
      </w:pPr>
      <w:r>
        <w:t xml:space="preserve"/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Equipe 7</w:t>
      </w:r>
      <w:r>
        <w:rPr>
          <w:sz w:val="21"/>
          <w:szCs w:val="21"/>
        </w:rPr>
        <w:t xml:space="preserve">  ·  Turma 1CCPX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286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RM</w:t>
            </w:r>
          </w:p>
        </w:tc>
      </w:tr>
      <w:tr>
        <w:trPr>
          <w:tblHeader w:val="false"/>
        </w:trPr>
        <w:tc>
          <w:tcPr>
            <w:tcW w:type="dxa" w:w="6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Gabriel Barbosa Furin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572941</w:t>
            </w:r>
          </w:p>
        </w:tc>
      </w:tr>
      <w:tr>
        <w:trPr>
          <w:tblHeader w:val="false"/>
        </w:trPr>
        <w:tc>
          <w:tcPr>
            <w:tcW w:type="dxa" w:w="6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Gabriel de Almeida Santos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569395</w:t>
            </w:r>
          </w:p>
        </w:tc>
      </w:tr>
      <w:tr>
        <w:trPr>
          <w:tblHeader w:val="false"/>
        </w:trPr>
        <w:tc>
          <w:tcPr>
            <w:tcW w:type="dxa" w:w="6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Herbert Soares de Jesus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571507</w:t>
            </w:r>
          </w:p>
        </w:tc>
      </w:tr>
      <w:tr>
        <w:trPr>
          <w:tblHeader w:val="false"/>
        </w:trPr>
        <w:tc>
          <w:tcPr>
            <w:tcW w:type="dxa" w:w="6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Lucas Kiodi Moraca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571004</w:t>
            </w:r>
          </w:p>
        </w:tc>
      </w:tr>
      <w:tr>
        <w:trPr>
          <w:tblHeader w:val="false"/>
        </w:trPr>
        <w:tc>
          <w:tcPr>
            <w:tcW w:type="dxa" w:w="6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Renan Fracalossi Mano da Silva</w:t>
            </w:r>
          </w:p>
        </w:tc>
        <w:tc>
          <w:tcPr>
            <w:tcW w:type="dxa" w:w="28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569610</w:t>
            </w:r>
          </w:p>
        </w:tc>
      </w:tr>
    </w:tbl>
    <w:p>
      <w:pPr>
        <w:spacing w:after="40" w:before="160"/>
      </w:pPr>
      <w:r>
        <w:rPr>
          <w:b/>
          <w:bCs/>
          <w:sz w:val="21"/>
          <w:szCs w:val="21"/>
        </w:rPr>
        <w:t xml:space="preserve">Responsável pela Fase 2: </w:t>
      </w:r>
      <w:r>
        <w:rPr>
          <w:sz w:val="21"/>
          <w:szCs w:val="21"/>
        </w:rPr>
        <w:t xml:space="preserve">Renan Fracalossi Mano da Silva (RM 569610)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Entrega: </w:t>
      </w:r>
      <w:r>
        <w:rPr>
          <w:sz w:val="21"/>
          <w:szCs w:val="21"/>
        </w:rPr>
        <w:t xml:space="preserve">15/10/2026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1. Objetivo da Fase 2</w:t>
      </w:r>
    </w:p>
    <w:p>
      <w:pPr>
        <w:spacing w:after="120" w:line="276"/>
      </w:pPr>
      <w:r>
        <w:rPr>
          <w:sz w:val="21"/>
          <w:szCs w:val="21"/>
        </w:rPr>
        <w:t xml:space="preserve">A Fase 2 analisa os impactos objetivos do ChargeGrid — viabilidade técnica, ganhos de eficiência, redução da pegada de carbono e relevância social e ambiental — e evidencia os diferenciais inovadores da solução: algoritmos inteligentes, automações, interface, visualização de dados e integração com assistente virtual.</w:t>
      </w:r>
    </w:p>
    <w:p>
      <w:pPr>
        <w:spacing w:after="120" w:line="276"/>
      </w:pPr>
      <w:r>
        <w:rPr>
          <w:sz w:val="21"/>
          <w:szCs w:val="21"/>
        </w:rPr>
        <w:t xml:space="preserve">Todos os números desta fase partem dos resultados simulados apresentados na Fase 1 (as figuras citadas como “Fase 1, Fig. X” referem-se àquele documento). Quando um cálculo exige um dado externo — fator de emissão, consumo de um veículo elétrico, regra tarifária —, a premissa e a fonte estão indicadas.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2. Análise de impactos</w:t>
      </w:r>
    </w:p>
    <w:p>
      <w:pPr>
        <w:pStyle w:val="Heading2"/>
        <w:spacing w:after="100" w:before="220"/>
      </w:pPr>
      <w:r>
        <w:rPr>
          <w:b/>
          <w:bCs/>
          <w:color w:val="157F8F"/>
          <w:sz w:val="24"/>
          <w:szCs w:val="24"/>
        </w:rPr>
        <w:t xml:space="preserve">2.1. Viabilidade técnica</w:t>
      </w:r>
    </w:p>
    <w:p>
      <w:pPr>
        <w:spacing w:after="120" w:line="276"/>
      </w:pPr>
      <w:r>
        <w:rPr>
          <w:sz w:val="21"/>
          <w:szCs w:val="21"/>
        </w:rPr>
        <w:t xml:space="preserve">A solução é tecnicamente viável porque cada bloco simulado corresponde a um equipamento, padrão ou regra que já existe no mercado. O ChargeGrid não depende de tecnologia inexistente: o diferencial está na camada de software (Energy Engine) que coordena esses blocos.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300"/>
        <w:gridCol w:w="3560"/>
        <w:gridCol w:w="3500"/>
      </w:tblGrid>
      <w:tr>
        <w:trPr>
          <w:tblHeader/>
        </w:trPr>
        <w:tc>
          <w:tcPr>
            <w:tcW w:type="dxa" w:w="23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56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 na simulação</w:t>
            </w:r>
          </w:p>
        </w:tc>
        <w:tc>
          <w:tcPr>
            <w:tcW w:type="dxa" w:w="35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 real que viabiliza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Recarga dos veículos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8 pontos de até 22 kW com potência ajustada por veículo (Fase 1, Fig. 5 e 6).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Carregador GoodWe HCA G2 (7, 11 e 22 kW), com controle dinâmico de carga e modos de recarga solar configuráveis no app SEMS+.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Geração e armazenamento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Solar 28,4 kW + Battery ESS 12,0 kW (SOC 70%) atendendo a sessão (Fase 1, Fig. 1).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Inversores híbridos GoodWe + baterias de armazenamento (linha Lynx), já citados na Fase 1.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Comunicação com carregadores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Eventos setChargingProfile e MeterValues, 8/8 conexões (Fase 1, Fig. 3).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OCPP 1.6J, protocolo aberto e amplamente adotado por fabricantes de carregadores.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Monitoramento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Dashboard Web e app com dados em tempo real (Fase 1, Fig. 2).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Plataforma GoodWe SEMS Portal / SEMS+ (web e aplicativo).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Infraestrutura elétrica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8 carregadores × 22 kW + prédio de 120 kW cabem no limite de 200 kW (Fase 1, Fig. 7).</w:t>
            </w:r>
          </w:p>
        </w:tc>
        <w:tc>
          <w:tcPr>
            <w:tcW w:type="dxa" w:w="3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Gestão por software, sem troca de transformador nem aumento de demanda contratada.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sz w:val="21"/>
          <w:szCs w:val="21"/>
        </w:rPr>
        <w:t xml:space="preserve">O ponto mais forte de viabilidade é o da infraestrutura: sem gestão, 8 carregadores de 22 kW (176 kW) somados ao consumo do prédio (120 kW) exigiriam 296 kW, quase 50% acima do limite contratado. Com o Energy Engine, o pico fica em 190 kW. Na prática, isso significa instalar a estação em um prédio existente sem obra de reforço de rede — normalmente a etapa mais cara e demorada de um projeto de eletroposto.</w:t>
      </w:r>
    </w:p>
    <w:p>
      <w:pPr>
        <w:pStyle w:val="Heading2"/>
        <w:spacing w:after="100" w:before="220"/>
      </w:pPr>
      <w:r>
        <w:rPr>
          <w:b/>
          <w:bCs/>
          <w:color w:val="157F8F"/>
          <w:sz w:val="24"/>
          <w:szCs w:val="24"/>
        </w:rPr>
        <w:t xml:space="preserve">2.2. Ganhos de eficiência</w:t>
      </w:r>
    </w:p>
    <w:p>
      <w:pPr>
        <w:spacing w:after="120" w:line="276"/>
      </w:pPr>
      <w:r>
        <w:rPr>
          <w:sz w:val="21"/>
          <w:szCs w:val="21"/>
        </w:rPr>
        <w:t xml:space="preserve">A tabela consolida os indicadores quantitativos extraídos das simulações da Fase 1: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3400"/>
        <w:gridCol w:w="2300"/>
        <w:gridCol w:w="3660"/>
      </w:tblGrid>
      <w:tr>
        <w:trPr>
          <w:tblHeader/>
        </w:trPr>
        <w:tc>
          <w:tcPr>
            <w:tcW w:type="dxa" w:w="34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3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  <w:tc>
          <w:tcPr>
            <w:tcW w:type="dxa" w:w="366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Redução de pico — Simulador de Infraestrutura (Fig. 7)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296 → 190 kW (−106 kW, −35,8%)</w:t>
            </w:r>
          </w:p>
        </w:tc>
        <w:tc>
          <w:tcPr>
            <w:tcW w:type="dxa" w:w="3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Elimina a ultrapassagem de 96 kW sobre o limite contratado.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Redução de pico — Simulador “E Se…?” com solar de 30 kW (Fig. 8)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222 → 160 kW (−62 kW, −27,9%)</w:t>
            </w:r>
          </w:p>
        </w:tc>
        <w:tc>
          <w:tcPr>
            <w:tcW w:type="dxa" w:w="3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Mantém a operação 20% abaixo do limite, com margem para mais veículos.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Economia por ultrapassagem evitada (Fig. 7)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R$ 5.300 (R$ 50/kW)</w:t>
            </w:r>
          </w:p>
        </w:tc>
        <w:tc>
          <w:tcPr>
            <w:tcW w:type="dxa" w:w="3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Custo que deixa de ser pago à distribuidora.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Participação renovável da sessão (Fig. 1)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38% (28,4 kW de 75,4 kW)</w:t>
            </w:r>
          </w:p>
        </w:tc>
        <w:tc>
          <w:tcPr>
            <w:tcW w:type="dxa" w:w="3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Solar 28,4 + rede 35,0 + ESS 12,0 = 75,4 kW de suprimento.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Uso da capacidade da rede (Fig. 2 e 6)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31% a 34% (61,9 a 68,2 kW de 200 kW)</w:t>
            </w:r>
          </w:p>
        </w:tc>
        <w:tc>
          <w:tcPr>
            <w:tcW w:type="dxa" w:w="3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Folga para crescer o número de pontos sem nova infraestrutura.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Demanda gerenciada automaticamente (Fig. 1)</w:t>
            </w:r>
          </w:p>
        </w:tc>
        <w:tc>
          <w:tcPr>
            <w:tcW w:type="dxa" w:w="2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85% da demanda balanceada</w:t>
            </w:r>
          </w:p>
        </w:tc>
        <w:tc>
          <w:tcPr>
            <w:tcW w:type="dxa" w:w="36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Decisões tomadas sem intervenção do operador.</w:t>
            </w:r>
          </w:p>
        </w:tc>
      </w:tr>
    </w:tbl>
    <w:p>
      <w:pPr>
        <w:spacing w:after="60"/>
      </w:pP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pacing w:after="40" w:before="60"/>
        <w:jc w:val="center"/>
      </w:pPr>
      <w:r>
        <w:drawing>
          <wp:inline distT="0" distB="0" distL="0" distR="0">
            <wp:extent cx="5715000" cy="2571750"/>
            <wp:effectExtent t="0" r="0" b="0" l="0"/>
            <wp:docPr id="101" name="Figura 101" descr="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os.png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1 — Pico de demanda sem e com o ChargeGrid nos dois simuladores da Fase 1. Nos dois casos, o pico gerenciado fica abaixo do limite contratado de 200 kW.</w:t>
      </w:r>
    </w:p>
    <w:p>
      <w:pPr>
        <w:spacing w:after="120" w:line="276"/>
      </w:pPr>
      <w:r>
        <w:rPr>
          <w:sz w:val="21"/>
          <w:szCs w:val="21"/>
        </w:rPr>
        <w:t xml:space="preserve">A regulação brasileira reforça o valor desse ganho: pela Resolução Normativa ANEEL nº 1.000/2021, a demanda medida que excede a contratada além da tolerância de 5% é faturada como ultrapassagem, a uma tarifa mais cara que a tarifa de demanda normal. Evitar o pico, portanto, gera economia direta e recorrente para o operador da estação.</w:t>
      </w:r>
    </w:p>
    <w:p>
      <w:pPr>
        <w:spacing w:after="120" w:line="276"/>
      </w:pPr>
      <w:r>
        <w:rPr>
          <w:sz w:val="21"/>
          <w:szCs w:val="21"/>
        </w:rPr>
        <w:t xml:space="preserve">Há ainda um ganho potencial de aproveitamento renovável: se a bateria (12 kW na Fig. 1) for recarregada com o excedente solar fora do horário de pico — função típica de um inversor híbrido —, a fração renovável da sessão pode subir de 38% para cerca de 54% ((28,4 + 12,0) ÷ 75,4).</w:t>
      </w:r>
    </w:p>
    <w:p>
      <w:pPr>
        <w:pStyle w:val="Heading2"/>
        <w:spacing w:after="100" w:before="220"/>
      </w:pPr>
      <w:r>
        <w:rPr>
          <w:b/>
          <w:bCs/>
          <w:color w:val="157F8F"/>
          <w:sz w:val="24"/>
          <w:szCs w:val="24"/>
        </w:rPr>
        <w:t xml:space="preserve">2.3. Redução da pegada de carbono</w:t>
      </w:r>
    </w:p>
    <w:p>
      <w:pPr>
        <w:spacing w:after="120" w:line="276"/>
      </w:pPr>
      <w:r>
        <w:rPr>
          <w:sz w:val="21"/>
          <w:szCs w:val="21"/>
        </w:rPr>
        <w:t xml:space="preserve">O principal benefício climático não vem da troca de fonte elétrica — a matriz brasileira já é muito limpa —, mas da substituição de quilômetros rodados a gasolina por quilômetros elétricos. A estimativa parte da energia entregue em um dia (1.540 kWh, Fase 1, Fig. 2):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4200"/>
        <w:gridCol w:w="2160"/>
        <w:gridCol w:w="3000"/>
      </w:tblGrid>
      <w:tr>
        <w:trPr>
          <w:tblHeader/>
        </w:trPr>
        <w:tc>
          <w:tcPr>
            <w:tcW w:type="dxa" w:w="42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Premissa / cálculo</w:t>
            </w:r>
          </w:p>
        </w:tc>
        <w:tc>
          <w:tcPr>
            <w:tcW w:type="dxa" w:w="216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30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Fonte</w:t>
            </w:r>
          </w:p>
        </w:tc>
      </w:tr>
      <w:tr>
        <w:trPr>
          <w:cantSplit/>
          <w:tblHeader w:val="false"/>
        </w:trP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Energia entregue aos veículos por dia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1.540 kWh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Fase 1, Fig. 2</w:t>
            </w:r>
          </w:p>
        </w:tc>
      </w:tr>
      <w:tr>
        <w:trPr>
          <w:cantSplit/>
          <w:tblHeader w:val="false"/>
        </w:trP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Consumo médio de um carro elétrico compacto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0,23 kWh/km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ICCT (2023), condições reais</w:t>
            </w:r>
          </w:p>
        </w:tc>
      </w:tr>
      <w:tr>
        <w:trPr>
          <w:cantSplit/>
          <w:tblHeader w:val="false"/>
        </w:trP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Quilometragem elétrica viabilizada por dia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≈ 6.696 km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1.540 ÷ 0,23</w:t>
            </w:r>
          </w:p>
        </w:tc>
      </w:tr>
      <w:tr>
        <w:trPr>
          <w:cantSplit/>
          <w:tblHeader w:val="false"/>
        </w:trP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Emissão de ciclo de vida — carro a gasolina C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186 g CO₂e/km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ICCT (2023)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Emissão de ciclo de vida — carro elétrico (Brasil)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55 g CO₂e/km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ICCT (2023), valor conservador</w:t>
            </w:r>
          </w:p>
        </w:tc>
      </w:tr>
      <w:tr>
        <w:trPr>
          <w:cantSplit/>
          <w:tblHeader w:val="false"/>
        </w:trP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Emissões da frota a gasolina equivalente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≈ 1.245 kg CO₂e/dia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6.696 × 0,186</w:t>
            </w:r>
          </w:p>
        </w:tc>
      </w:tr>
      <w:tr>
        <w:trPr>
          <w:cantSplit/>
          <w:tblHeader w:val="false"/>
        </w:trPr>
        <w:tc>
          <w:tcPr>
            <w:tcW w:type="dxa" w:w="4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Emissões da frota elétrica</w:t>
            </w:r>
          </w:p>
        </w:tc>
        <w:tc>
          <w:tcPr>
            <w:tcW w:type="dxa" w:w="21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≈ 368 kg CO₂e/dia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6.696 × 0,055</w:t>
            </w:r>
          </w:p>
        </w:tc>
      </w:tr>
      <w:tr>
        <w:trPr>
          <w:cantSplit/>
          <w:tblHeader w:val="false"/>
        </w:trPr>
        <w:tc>
          <w:tcPr>
            <w:tcW w:type="dxa" w:w="4200"/>
            <w:shd w:fill="EE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Emissões evitadas</w:t>
            </w:r>
          </w:p>
        </w:tc>
        <w:tc>
          <w:tcPr>
            <w:tcW w:type="dxa" w:w="2160"/>
            <w:shd w:fill="EE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≈ 877 kg CO₂e/dia ≈ 26 t/mês ≈ 320 t/ano</w:t>
            </w:r>
          </w:p>
        </w:tc>
        <w:tc>
          <w:tcPr>
            <w:tcW w:type="dxa" w:w="3000"/>
            <w:shd w:fill="EEF4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Diferença (30 dias/mês; 365 dias/ano)</w:t>
            </w:r>
          </w:p>
        </w:tc>
      </w:tr>
    </w:tbl>
    <w:p>
      <w:pPr>
        <w:spacing w:after="60"/>
      </w:pP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pacing w:after="40" w:before="60"/>
        <w:jc w:val="center"/>
      </w:pPr>
      <w:r>
        <w:drawing>
          <wp:inline distT="0" distB="0" distL="0" distR="0">
            <wp:extent cx="5715000" cy="2143125"/>
            <wp:effectExtent t="0" r="0" b="0" l="0"/>
            <wp:docPr id="102" name="Figura 102" descr="c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co2.png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2 — Emissões diárias de ciclo de vida para rodar a mesma quilometragem com carros a gasolina C e com carros elétricos recarregados pelo ChargeGrid.</w:t>
      </w:r>
    </w:p>
    <w:p>
      <w:pPr>
        <w:spacing w:after="120" w:line="276"/>
      </w:pPr>
      <w:r>
        <w:rPr>
          <w:sz w:val="21"/>
          <w:szCs w:val="21"/>
        </w:rPr>
        <w:t xml:space="preserve">A contribuição da geração solar própria pode ser medida à parte. Com o fator médio de emissão do Sistema Interligado Nacional de 0,0385 t CO₂/MWh (MCTI, 2023), os 1.540 kWh diários vindos 100% da rede emitiriam cerca de 59 kg CO₂. Com 38% de origem solar, esse valor cai para cerca de 37 kg — uma redução adicional de ≈ 22 kg CO₂/dia (≈ 8 t/ano). O número é pequeno em relação ao ganho da eletrificação, o que confirma a leitura de que, no Brasil, o impacto maior está em viabilizar mais recargas, e não apenas em limpar a energia da recarga.</w:t>
      </w:r>
    </w:p>
    <w:p>
      <w:pPr>
        <w:spacing w:after="120" w:line="276"/>
      </w:pPr>
      <w:r>
        <w:rPr>
          <w:b/>
          <w:bCs/>
          <w:i/>
          <w:iCs/>
          <w:color w:val="666666"/>
          <w:sz w:val="19"/>
          <w:szCs w:val="19"/>
        </w:rPr>
        <w:t xml:space="preserve">Observação: </w:t>
      </w:r>
      <w:r>
        <w:rPr>
          <w:i/>
          <w:iCs/>
          <w:color w:val="666666"/>
          <w:sz w:val="19"/>
          <w:szCs w:val="19"/>
        </w:rPr>
        <w:t xml:space="preserve">os valores são estimativas com dados simulados; o resultado real depende do perfil da frota, do uso diário e da quilometragem efetiva de cada veículo.</w:t>
      </w:r>
    </w:p>
    <w:p>
      <w:pPr>
        <w:pStyle w:val="Heading2"/>
        <w:spacing w:after="100" w:before="220"/>
      </w:pPr>
      <w:r>
        <w:rPr>
          <w:b/>
          <w:bCs/>
          <w:color w:val="157F8F"/>
          <w:sz w:val="24"/>
          <w:szCs w:val="24"/>
        </w:rPr>
        <w:t xml:space="preserve">2.4. Relevância social e ambiental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Acesso à recarga em prédios existentes:</w:t>
      </w:r>
      <w:r>
        <w:rPr>
          <w:sz w:val="21"/>
          <w:szCs w:val="21"/>
        </w:rPr>
        <w:t xml:space="preserve"> ao dispensar o reforço da rede, a solução torna a recarga viável em condomínios, empresas e shoppings que não comportariam vários carregadores sem gestão — um dos principais gargalos para a adoção de carros elétricos.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Qualidade do ar nos centros urbanos:</w:t>
      </w:r>
      <w:r>
        <w:rPr>
          <w:sz w:val="21"/>
          <w:szCs w:val="21"/>
        </w:rPr>
        <w:t xml:space="preserve"> os pontos simulados (Centro, Paulista, Iguatemi) ficam em regiões de tráfego intenso, onde a troca de motores a combustão por elétricos reduz poluentes locais, além do CO₂.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Alívio da rede elétrica:</w:t>
      </w:r>
      <w:r>
        <w:rPr>
          <w:sz w:val="21"/>
          <w:szCs w:val="21"/>
        </w:rPr>
        <w:t xml:space="preserve"> o Peak Shaving reduz a pressão sobre a distribuidora nos horários de maior consumo, beneficiando também os demais consumidores conectados à mesma rede.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Inclusão no pagamento:</w:t>
      </w:r>
      <w:r>
        <w:rPr>
          <w:sz w:val="21"/>
          <w:szCs w:val="21"/>
        </w:rPr>
        <w:t xml:space="preserve"> o faturamento com PIX, boleto e cartão (Fase 1, Fig. 10) facilita o uso por motoristas de aplicativo, frotas e usuários sem cartão de crédito.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Alinhamento com os ODS da ONU:</w:t>
      </w:r>
      <w:r>
        <w:rPr>
          <w:sz w:val="21"/>
          <w:szCs w:val="21"/>
        </w:rPr>
        <w:t xml:space="preserve"> ODS 7 (energia limpa e acessível), ODS 11 (cidades sustentáveis) e ODS 13 (ação contra a mudança do clima).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3. Diferenciais inovadores</w:t>
      </w:r>
    </w:p>
    <w:p>
      <w:pPr>
        <w:spacing w:after="120" w:line="276"/>
      </w:pPr>
      <w:r>
        <w:rPr>
          <w:sz w:val="21"/>
          <w:szCs w:val="21"/>
        </w:rPr>
        <w:t xml:space="preserve">O ciclo abaixo resume como os diferenciais se encadeiam dentro do Energy Engine: o sistema mede, prevê, decide, atua sobre os carregadores e informa o resultado ao operador e ao usuário, repetindo o processo continuamente.</w:t>
      </w:r>
    </w:p>
    <w:p>
      <w:pPr>
        <w:pBdr>
          <w:top w:val="single" w:color="CCCCCC" w:sz="4"/>
          <w:left w:val="single" w:color="CCCCCC" w:sz="4"/>
          <w:bottom w:val="single" w:color="CCCCCC" w:sz="4"/>
          <w:right w:val="single" w:color="CCCCCC" w:sz="4"/>
        </w:pBdr>
        <w:spacing w:after="40" w:before="60"/>
        <w:jc w:val="center"/>
      </w:pPr>
      <w:r>
        <w:drawing>
          <wp:inline distT="0" distB="0" distL="0" distR="0">
            <wp:extent cx="5715000" cy="2067901"/>
            <wp:effectExtent t="0" r="0" b="0" l="0"/>
            <wp:docPr id="103" name="Figura 103" descr="flux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luxo.png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3 — Ciclo de decisão do Energy Engine e onde cada diferencial atua.</w:t>
      </w:r>
    </w:p>
    <w:p>
      <w:pPr>
        <w:pStyle w:val="Heading2"/>
        <w:spacing w:after="100" w:before="220"/>
      </w:pPr>
      <w:r>
        <w:rPr>
          <w:b/>
          <w:bCs/>
          <w:color w:val="157F8F"/>
          <w:sz w:val="24"/>
          <w:szCs w:val="24"/>
        </w:rPr>
        <w:t xml:space="preserve">3.1. Algoritmos inteligentes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Balanceamento Dinâmico de Carga (DLB, weighted round-robin):</w:t>
      </w:r>
      <w:r>
        <w:rPr>
          <w:sz w:val="21"/>
          <w:szCs w:val="21"/>
        </w:rPr>
        <w:t xml:space="preserve"> distribui a capacidade disponível de forma proporcional entre os veículos conectados, respeitando a prioridade da fila e o teto contratado (Fase 1, Fig. 6). Com isso, nenhum veículo fica sem carga enquanto houver capacidade, e o limite da rede nunca é ultrapassado.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Peak Shaving:</w:t>
      </w:r>
      <w:r>
        <w:rPr>
          <w:sz w:val="21"/>
          <w:szCs w:val="21"/>
        </w:rPr>
        <w:t xml:space="preserve"> quando a soma das cargas se aproxima do limite, o sistema reduz a potência dos carregadores e aciona a bateria (ESS) para cobrir o pico (Fase 1, Fig. 3 e 7).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Previsão de demanda por IA:</w:t>
      </w:r>
      <w:r>
        <w:rPr>
          <w:sz w:val="21"/>
          <w:szCs w:val="21"/>
        </w:rPr>
        <w:t xml:space="preserve"> projeta a carga dos próximos 60 minutos e recomenda ações antes que o pico aconteça, como ativar o Peak Shaving ou otimizar a receita (Fase 1, Fig. 4). A gestão deixa de ser reativa e passa a ser preventiva.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Modos de recarga Rápido, Econômico e Sustentável:</w:t>
      </w:r>
      <w:r>
        <w:rPr>
          <w:sz w:val="21"/>
          <w:szCs w:val="21"/>
        </w:rPr>
        <w:t xml:space="preserve"> o usuário indica sua prioridade e o algoritmo a usa como peso na distribuição — o modo Sustentável, por exemplo, privilegia os momentos de maior geração solar (Fase 1, Fig. 6).</w:t>
      </w:r>
    </w:p>
    <w:p>
      <w:pPr>
        <w:pStyle w:val="Heading2"/>
        <w:spacing w:after="100" w:before="220"/>
      </w:pPr>
      <w:r>
        <w:rPr>
          <w:b/>
          <w:bCs/>
          <w:color w:val="157F8F"/>
          <w:sz w:val="24"/>
          <w:szCs w:val="24"/>
        </w:rPr>
        <w:t xml:space="preserve">3.2. Automações avançadas</w:t>
      </w:r>
    </w:p>
    <w:p>
      <w:pPr>
        <w:spacing w:after="120" w:line="276"/>
      </w:pPr>
      <w:r>
        <w:rPr>
          <w:sz w:val="21"/>
          <w:szCs w:val="21"/>
        </w:rPr>
        <w:t xml:space="preserve">O ajuste de potência é feito por comandos automáticos aos carregadores (perfis de recarga no padrão OCPP, como setChargingProfile), registrados em log com data, hora e motivo (Fase 1, Fig. 3). Na sessão da Fase 1, Fig. 1, 85% da demanda foi balanceada automaticamente, sem intervenção do operador. A mesma lógica coordena solar, bateria e rede: a energia solar é usada primeiro, a bateria cobre os picos e a rede completa o restante.</w:t>
      </w:r>
    </w:p>
    <w:p>
      <w:pPr>
        <w:pStyle w:val="Heading2"/>
        <w:spacing w:after="100" w:before="220"/>
      </w:pPr>
      <w:r>
        <w:rPr>
          <w:b/>
          <w:bCs/>
          <w:color w:val="157F8F"/>
          <w:sz w:val="24"/>
          <w:szCs w:val="24"/>
        </w:rPr>
        <w:t xml:space="preserve">3.3. Interface amigável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Dashboard Web</w:t>
      </w:r>
      <w:r>
        <w:rPr>
          <w:sz w:val="21"/>
          <w:szCs w:val="21"/>
        </w:rPr>
        <w:t xml:space="preserve"> para o operador, com visão geral, estações, balanceamento, logs e faturamento em menus separados por área (Operação, Engenharia e Comercial).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App móvel</w:t>
      </w:r>
      <w:r>
        <w:rPr>
          <w:sz w:val="21"/>
          <w:szCs w:val="21"/>
        </w:rPr>
        <w:t xml:space="preserve"> para o motorista acompanhar a recarga e escolher o modo de carregamento.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Eletroposto 3D</w:t>
      </w:r>
      <w:r>
        <w:rPr>
          <w:sz w:val="21"/>
          <w:szCs w:val="21"/>
        </w:rPr>
        <w:t xml:space="preserve">, que mostra a sessão de forma visual e didática, útil para apresentar a solução a clientes e gestores não técnicos (Fase 1, Fig. 1).</w:t>
      </w:r>
    </w:p>
    <w:p>
      <w:pPr>
        <w:pStyle w:val="Heading2"/>
        <w:spacing w:after="100" w:before="220"/>
      </w:pPr>
      <w:r>
        <w:rPr>
          <w:b/>
          <w:bCs/>
          <w:color w:val="157F8F"/>
          <w:sz w:val="24"/>
          <w:szCs w:val="24"/>
        </w:rPr>
        <w:t xml:space="preserve">3.4. Visualização de dados</w:t>
      </w:r>
    </w:p>
    <w:p>
      <w:pPr>
        <w:spacing w:after="120" w:line="276"/>
      </w:pPr>
      <w:r>
        <w:rPr>
          <w:sz w:val="21"/>
          <w:szCs w:val="21"/>
        </w:rPr>
        <w:t xml:space="preserve">A solução transforma os dados de operação em gráficos de leitura imediata (figuras da Fase 1): potência distribuída em tempo real com a linha do limite contratado (Fig. 2), barras de potência por veículo (Fig. 6), curva de previsão de demanda (Fig. 4), comparação “sem × com ChargeGrid” (Fig. 7) e a curva de retorno do investimento em 24 meses (Fig. 8). O Simulador “E Se…?” permite testar cenários — mais carregadores, mais consumo, mais geração solar — antes de investir, apoiando a decisão com dados.</w:t>
      </w:r>
    </w:p>
    <w:p>
      <w:pPr>
        <w:pStyle w:val="Heading2"/>
        <w:spacing w:after="100" w:before="220"/>
      </w:pPr>
      <w:r>
        <w:rPr>
          <w:b/>
          <w:bCs/>
          <w:color w:val="157F8F"/>
          <w:sz w:val="24"/>
          <w:szCs w:val="24"/>
        </w:rPr>
        <w:t xml:space="preserve">3.5. Integração com assistente virtual</w:t>
      </w:r>
    </w:p>
    <w:p>
      <w:pPr>
        <w:spacing w:after="120" w:line="276"/>
      </w:pPr>
      <w:r>
        <w:rPr>
          <w:sz w:val="21"/>
          <w:szCs w:val="21"/>
        </w:rPr>
        <w:t xml:space="preserve">O Assistente ChargeGrid responde em linguagem natural a perguntas sobre a operação usando os dados ao vivo do sistema — por exemplo, a carga atual da rede (Fase 1, Fig. 9). Assim, gestores obtêm respostas sem navegar por painéis, e a solução fica pronta para canais de voz e chat.</w:t>
      </w:r>
    </w:p>
    <w:p>
      <w:pPr>
        <w:pStyle w:val="Heading2"/>
        <w:spacing w:after="100" w:before="220"/>
      </w:pPr>
      <w:r>
        <w:rPr>
          <w:b/>
          <w:bCs/>
          <w:color w:val="157F8F"/>
          <w:sz w:val="24"/>
          <w:szCs w:val="24"/>
        </w:rPr>
        <w:t xml:space="preserve">3.6. Síntese dos diferenciais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2"/>
          <w:insideV w:val="single" w:color="DDDDDD" w:sz="2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Diferencial</w:t>
            </w:r>
          </w:p>
        </w:tc>
        <w:tc>
          <w:tcPr>
            <w:tcW w:type="dxa" w:w="250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 (Fase 1)</w:t>
            </w:r>
          </w:p>
        </w:tc>
        <w:tc>
          <w:tcPr>
            <w:tcW w:type="dxa" w:w="4360"/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Ganho para o desafio GoodWe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DLB weighted round-robin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Fig. 6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Mais veículos atendidos com a mesma infraestrutura.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Peak Shaving + ESS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Fig. 3 e 7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Pico até 35,8% menor e fim da ultrapassagem contratual.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Previsão por IA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Fig. 4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Ação preventiva antes do pico.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Modos Rápido / Econômico / Sustentável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Fig. 6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Usuário participa da eficiência energética.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Automação via perfis OCPP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Fig. 1 e 3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85% da demanda gerenciada sem operador.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Dashboard, app e Eletroposto 3D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Fig. 1, 2 e 5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Interfaces para operador, motorista e apresentação.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Simulador “E Se…?” e curva de ROI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Fig. 7 e 8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Decisão de investimento baseada em dados.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Assistente virtual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Fig. 9</w:t>
            </w:r>
          </w:p>
        </w:tc>
        <w:tc>
          <w:tcPr>
            <w:tcW w:type="dxa" w:w="436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222222"/>
                <w:sz w:val="19"/>
                <w:szCs w:val="19"/>
              </w:rPr>
              <w:t xml:space="preserve">Consulta à operação em linguagem natural.</w:t>
            </w:r>
          </w:p>
        </w:tc>
      </w:tr>
    </w:tbl>
    <w:p>
      <w:pPr>
        <w:spacing w:after="60"/>
      </w:pP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4. Avaliação crítica</w:t>
      </w:r>
    </w:p>
    <w:p>
      <w:pPr>
        <w:spacing w:after="120" w:line="276"/>
      </w:pPr>
      <w:r>
        <w:rPr>
          <w:sz w:val="21"/>
          <w:szCs w:val="21"/>
        </w:rPr>
        <w:t xml:space="preserve">Para que a análise seja confiável, é importante registrar também os limites da solução e dos números: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Dados simulados:</w:t>
      </w:r>
      <w:r>
        <w:rPr>
          <w:sz w:val="21"/>
          <w:szCs w:val="21"/>
        </w:rPr>
        <w:t xml:space="preserve"> todos os indicadores vêm de uma prova de conceito. Os ganhos precisam ser confirmados com dados reais de medição de um piloto.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Retorno do investimento (Fase 1, Fig. 8):</w:t>
      </w:r>
      <w:r>
        <w:rPr>
          <w:sz w:val="21"/>
          <w:szCs w:val="21"/>
        </w:rPr>
        <w:t xml:space="preserve"> o simulador indica economia de R$ 68.200/mês e retorno em 0,2 mês. Esse valor é inconsistente com o critério da Fig. 7 (R$ 50 por kW de ultrapassagem): aplicado aos 62 kW evitados, ele resulta em cerca de R$ 3.100/mês, o que levaria o investimento de R$ 15.000 a se pagar em aproximadamente 5 meses. A economia continua relevante, mas recomenda-se revisar a fórmula do simulador antes da apresentação final.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Matriz elétrica limpa:</w:t>
      </w:r>
      <w:r>
        <w:rPr>
          <w:sz w:val="21"/>
          <w:szCs w:val="21"/>
        </w:rPr>
        <w:t xml:space="preserve"> como a rede brasileira já é majoritariamente renovável, o ganho de carbono da geração solar própria é pequeno; o argumento ambiental mais forte é a eletrificação da frota.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Ciclo de vida das baterias:</w:t>
      </w:r>
      <w:r>
        <w:rPr>
          <w:sz w:val="21"/>
          <w:szCs w:val="21"/>
        </w:rPr>
        <w:t xml:space="preserve"> o ESS e as baterias dos veículos exigem planejamento de degradação, reaproveitamento e descarte correto.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Proteção de dados:</w:t>
      </w:r>
      <w:r>
        <w:rPr>
          <w:sz w:val="21"/>
          <w:szCs w:val="21"/>
        </w:rPr>
        <w:t xml:space="preserve"> usuários, frotas e pagamentos envolvem dados pessoais, o que exige conformidade com a LGPD em uma versão de produção.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Integração real:</w:t>
      </w:r>
      <w:r>
        <w:rPr>
          <w:sz w:val="21"/>
          <w:szCs w:val="21"/>
        </w:rPr>
        <w:t xml:space="preserve"> a comunicação OCPP e a integração com o SEMS ainda são simuladas; a próxima etapa técnica seria um piloto com um carregador e um inversor GoodWe reais.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5. Conclusão</w:t>
      </w:r>
    </w:p>
    <w:p>
      <w:pPr>
        <w:spacing w:after="120" w:line="276"/>
      </w:pPr>
      <w:r>
        <w:rPr>
          <w:sz w:val="21"/>
          <w:szCs w:val="21"/>
        </w:rPr>
        <w:t xml:space="preserve">A análise mostra que o ChargeGrid é viável com tecnologias já disponíveis no portfólio GoodWe e em padrões abertos de mercado. Ele reduz o pico de demanda em até 35,8%, evita a ultrapassagem contratual e permite operar 8 carregadores de 22 kW sem reforço da rede. Ao viabilizar cerca de 6.700 km elétricos por dia, contribui para evitar aproximadamente 320 t de CO₂e por ano. Os diferenciais — balanceamento dinâmico, Peak Shaving com bateria, previsão por IA, automação via OCPP, visualização de dados e assistente virtual — conectam diretamente a solução aos critérios de inovação, sustentabilidade e eficiência do desafio.</w:t>
      </w:r>
    </w:p>
    <w:p>
      <w:pPr>
        <w:pStyle w:val="Heading1"/>
        <w:spacing w:after="140" w:before="320"/>
      </w:pPr>
      <w:r>
        <w:rPr>
          <w:b/>
          <w:bCs/>
          <w:color w:val="1F3A5F"/>
          <w:sz w:val="30"/>
          <w:szCs w:val="30"/>
        </w:rPr>
        <w:t xml:space="preserve">6. Referências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GOODWE. </w:t>
      </w:r>
      <w:r>
        <w:rPr>
          <w:b/>
          <w:bCs/>
          <w:sz w:val="21"/>
          <w:szCs w:val="21"/>
        </w:rPr>
        <w:t xml:space="preserve">EV Charger HCA G2</w:t>
      </w:r>
      <w:r>
        <w:rPr>
          <w:sz w:val="21"/>
          <w:szCs w:val="21"/>
        </w:rPr>
        <w:t xml:space="preserve"> — especificações e funções. Disponível em: en.goodwe.com/hca-g2.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ICCT — International Council on Clean Transportation. </w:t>
      </w:r>
      <w:r>
        <w:rPr>
          <w:b/>
          <w:bCs/>
          <w:sz w:val="21"/>
          <w:szCs w:val="21"/>
        </w:rPr>
        <w:t xml:space="preserve">Avaliação comparativa das emissões de gases de efeito estufa no ciclo de vida de veículos leves no Brasil</w:t>
      </w:r>
      <w:r>
        <w:rPr>
          <w:sz w:val="21"/>
          <w:szCs w:val="21"/>
        </w:rPr>
        <w:t xml:space="preserve">. 2023. Disponível em: theicct.org.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MCTI — Ministério da Ciência, Tecnologia e Inovação. </w:t>
      </w:r>
      <w:r>
        <w:rPr>
          <w:b/>
          <w:bCs/>
          <w:sz w:val="21"/>
          <w:szCs w:val="21"/>
        </w:rPr>
        <w:t xml:space="preserve">Fatores de emissão de CO₂ da geração de energia elétrica no SIN</w:t>
      </w:r>
      <w:r>
        <w:rPr>
          <w:sz w:val="21"/>
          <w:szCs w:val="21"/>
        </w:rPr>
        <w:t xml:space="preserve"> (fator médio de 2023: 0,0385 t CO₂/MWh). Divulgado em: cenarioenergia.com.br, 15/02/2024.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ANEEL. </w:t>
      </w:r>
      <w:r>
        <w:rPr>
          <w:b/>
          <w:bCs/>
          <w:sz w:val="21"/>
          <w:szCs w:val="21"/>
        </w:rPr>
        <w:t xml:space="preserve">Resolução Normativa nº 1.000, de 7 de dezembro de 2021</w:t>
      </w:r>
      <w:r>
        <w:rPr>
          <w:sz w:val="21"/>
          <w:szCs w:val="21"/>
        </w:rPr>
        <w:t xml:space="preserve"> — regras de prestação do serviço público de distribuição de energia elétrica (demanda contratada e ultrapassagem).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OPEN CHARGE ALLIANCE. </w:t>
      </w:r>
      <w:r>
        <w:rPr>
          <w:b/>
          <w:bCs/>
          <w:sz w:val="21"/>
          <w:szCs w:val="21"/>
        </w:rPr>
        <w:t xml:space="preserve">Open Charge Point Protocol (OCPP) 1.6J</w:t>
      </w:r>
      <w:r>
        <w:rPr>
          <w:sz w:val="21"/>
          <w:szCs w:val="21"/>
        </w:rPr>
        <w:t xml:space="preserve">. Disponível em: openchargealliance.org.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ONU. </w:t>
      </w:r>
      <w:r>
        <w:rPr>
          <w:b/>
          <w:bCs/>
          <w:sz w:val="21"/>
          <w:szCs w:val="21"/>
        </w:rPr>
        <w:t xml:space="preserve">Objetivos de Desenvolvimento Sustentável (ODS 7, 11 e 13)</w:t>
      </w:r>
      <w:r>
        <w:rPr>
          <w:sz w:val="21"/>
          <w:szCs w:val="21"/>
        </w:rPr>
        <w:t xml:space="preserve">. Disponível em: brasil.un.org.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EQUIPE 7. </w:t>
      </w:r>
      <w:r>
        <w:rPr>
          <w:b/>
          <w:bCs/>
          <w:sz w:val="21"/>
          <w:szCs w:val="21"/>
        </w:rPr>
        <w:t xml:space="preserve">GoodWe ChargeGrid Intelligence — Fase 1: Integração e Funcionamento</w:t>
      </w:r>
      <w:r>
        <w:rPr>
          <w:sz w:val="21"/>
          <w:szCs w:val="21"/>
        </w:rPr>
        <w:t xml:space="preserve">. FIAP, 2026.</w:t>
      </w:r>
    </w:p>
    <w:p>
      <w:pPr>
        <w:pBdr>
          <w:bottom w:val="single" w:color="157F8F" w:sz="12" w:space="1"/>
        </w:pBdr>
        <w:spacing w:after="160"/>
      </w:pPr>
      <w:r>
        <w:t xml:space="preserve"/>
      </w:r>
    </w:p>
    <w:p>
      <w:pPr>
        <w:jc w:val="center"/>
      </w:pPr>
      <w:r>
        <w:rPr>
          <w:color w:val="666666"/>
          <w:sz w:val="16"/>
          <w:szCs w:val="16"/>
        </w:rPr>
        <w:t xml:space="preserve">ChargeGrid Intelligence · GoodWe Challenge 2026 · FIAP · Equipe 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7" Type="http://schemas.openxmlformats.org/officeDocument/2006/relationships/fontTable" Target="fontTable.xml"/><Relationship Id="rId101" Type="http://schemas.openxmlformats.org/officeDocument/2006/relationships/image" Target="media/fase2_picos.png"/><Relationship Id="rId102" Type="http://schemas.openxmlformats.org/officeDocument/2006/relationships/image" Target="media/fase2_co2.png"/><Relationship Id="rId103" Type="http://schemas.openxmlformats.org/officeDocument/2006/relationships/image" Target="media/fase2_fluxo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2026-10-06T13:58:49.815Z</dcterms:created>
  <dcterms:modified xsi:type="dcterms:W3CDTF">2026-10-06T13:58:49.820Z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