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1) ¿qué debe garantizar el Estado?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Garantizar el derecho a enseñar y aprender.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acceso de todos los ciudadanos a la información y el conocimiento.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el artículo 5 el estado es el que va a controlar el cumplimiento de esta ley.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el artículo 4 tiene que proveer una educación integral, permanente y de calidad. Garantizando la igualdad la gratuidad y equidad.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En el 9 el estado tiene que financiar el sistema educativo.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2) ¿qué establece acerca de los pueblos originarios?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Asegurar a los pueblos indígenas el respeto a su lengua y a su identidad cultural, promoviendo la valoración de la multiculturalidad en la formación de todos/as los/as educandos/as.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Respetar, preservar y fortalecer las pautas culturales de los pueblos originarios.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participación permanente de los representantes de los pueblos originarios... evaluar las estrategias de la educación intercultural bilingüe.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3) ¿Qué tipo de organizaciones educativas comprende además de las estatales?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Las escuelas de gestión privada se rigen por la misma ley.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4) ¿Cómo es la estructura del sistema educativo?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La estructura del Sistema Educativo Nacional comprende 4 niveles: la Educación Inicial, la Educación Primaria, la Educación Secundaria y la Educación Superior. Está sujeto a distintas modalidades. Educación Técnico Profesional, la Educación Artística, la Educación Especial, la Educación Permanente de Jóvenes y Adultos, la Educación Rural, la Educación Intercultural Bilingüe, la Educación en Contextos de Privación de Libertad y la Educación Domiciliaria y Hospitalaria.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5) ¿qué establece sobre las alumnas madres?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garantiza las medidas necesarias, el acceso y la permanencia. habilita salas de lactancia y que podrán incluirlas en la modalidad domiciliaria y hospitalaria.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¿qué establece acerca de p con cap !=?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¿qué establece sobre formas de discriminación?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¿desde qué edad es obligatoria la educación?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¿qué es el i n fo 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¿cómo está integrado el consejo federal?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