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101" w:rsidRDefault="008D5101" w:rsidP="008D5101">
      <w:pPr>
        <w:pStyle w:val="Sinespaciado"/>
        <w:spacing w:line="276" w:lineRule="auto"/>
        <w:rPr>
          <w:lang w:eastAsia="es-ES"/>
        </w:rPr>
      </w:pPr>
      <w:r>
        <w:rPr>
          <w:lang w:eastAsia="es-ES"/>
        </w:rPr>
        <w:t xml:space="preserve">Página 12 - </w:t>
      </w:r>
      <w:r w:rsidRPr="008D5101">
        <w:rPr>
          <w:lang w:eastAsia="es-ES"/>
        </w:rPr>
        <w:t>16 de marzo de 2023</w:t>
      </w:r>
    </w:p>
    <w:p w:rsidR="008D5101" w:rsidRPr="008D5101" w:rsidRDefault="008D5101" w:rsidP="008D5101">
      <w:pPr>
        <w:pStyle w:val="Sinespaciado"/>
        <w:spacing w:line="276" w:lineRule="auto"/>
        <w:rPr>
          <w:lang w:eastAsia="es-ES"/>
        </w:rPr>
      </w:pPr>
      <w:r w:rsidRPr="008D5101">
        <w:rPr>
          <w:lang w:eastAsia="es-ES"/>
        </w:rPr>
        <w:t>Cae la participación del salario en el ingreso nacional</w:t>
      </w:r>
      <w:bookmarkStart w:id="0" w:name="_GoBack"/>
      <w:bookmarkEnd w:id="0"/>
    </w:p>
    <w:p w:rsidR="008D5101" w:rsidRPr="008D5101" w:rsidRDefault="008D5101" w:rsidP="008D5101">
      <w:pPr>
        <w:pStyle w:val="Ttulo2"/>
        <w:spacing w:line="276" w:lineRule="auto"/>
      </w:pPr>
      <w:r w:rsidRPr="008D5101">
        <w:t xml:space="preserve">El </w:t>
      </w:r>
      <w:proofErr w:type="spellStart"/>
      <w:r w:rsidRPr="008D5101">
        <w:t>fifty-fifty</w:t>
      </w:r>
      <w:proofErr w:type="spellEnd"/>
      <w:r w:rsidRPr="008D5101">
        <w:t xml:space="preserve"> se sigue alejando</w:t>
      </w:r>
    </w:p>
    <w:p w:rsidR="008D5101" w:rsidRPr="008D5101" w:rsidRDefault="008D5101" w:rsidP="008D5101">
      <w:pPr>
        <w:spacing w:after="150" w:line="276" w:lineRule="auto"/>
        <w:outlineLvl w:val="1"/>
        <w:rPr>
          <w:rFonts w:ascii="Arial" w:eastAsia="Times New Roman" w:hAnsi="Arial" w:cs="Arial"/>
          <w:color w:val="1B1B1B"/>
          <w:spacing w:val="-5"/>
          <w:lang w:eastAsia="es-ES"/>
        </w:rPr>
      </w:pPr>
      <w:r w:rsidRPr="008D5101">
        <w:rPr>
          <w:rFonts w:ascii="Arial" w:eastAsia="Times New Roman" w:hAnsi="Arial" w:cs="Arial"/>
          <w:color w:val="1B1B1B"/>
          <w:spacing w:val="-5"/>
          <w:lang w:eastAsia="es-ES"/>
        </w:rPr>
        <w:t>Entre 2016 y 2022 hubo una transferencia de ingresos del trabajo al capital de 87 mil millones de dólares, según estimó Cifra-CTA.</w:t>
      </w:r>
    </w:p>
    <w:p w:rsidR="008D5101" w:rsidRPr="008D5101" w:rsidRDefault="008D5101" w:rsidP="008D5101">
      <w:pPr>
        <w:pStyle w:val="NormalWeb"/>
        <w:spacing w:before="0" w:beforeAutospacing="0" w:after="300" w:afterAutospacing="0" w:line="276" w:lineRule="auto"/>
        <w:rPr>
          <w:rFonts w:ascii="Arial" w:hAnsi="Arial" w:cs="Arial"/>
          <w:color w:val="000000"/>
          <w:spacing w:val="2"/>
          <w:sz w:val="22"/>
          <w:szCs w:val="22"/>
        </w:rPr>
      </w:pPr>
      <w:r w:rsidRPr="008D5101">
        <w:rPr>
          <w:rFonts w:ascii="Arial" w:hAnsi="Arial" w:cs="Arial"/>
          <w:color w:val="000000"/>
          <w:spacing w:val="2"/>
          <w:sz w:val="22"/>
          <w:szCs w:val="22"/>
        </w:rPr>
        <w:t>La reducción de la participación de los asalariados en el ingreso en la gestión de Cambiemos (del 51,8 por ciento en 2016 al 46,2 en 2019) se prolongó durante el gobierno del Frente de Todos (43,9 por ciento en los tres primeros trimestres de 2022) y ello supuso una </w:t>
      </w:r>
      <w:r w:rsidRPr="008D5101">
        <w:rPr>
          <w:rFonts w:ascii="Arial" w:hAnsi="Arial" w:cs="Arial"/>
          <w:b/>
          <w:bCs/>
          <w:color w:val="000000"/>
          <w:spacing w:val="2"/>
          <w:sz w:val="22"/>
          <w:szCs w:val="22"/>
        </w:rPr>
        <w:t>transferencia de ingresos del trabajo al capital de aproximadamente 87.000 millones de dólares</w:t>
      </w:r>
      <w:r w:rsidRPr="008D5101">
        <w:rPr>
          <w:rFonts w:ascii="Arial" w:hAnsi="Arial" w:cs="Arial"/>
          <w:color w:val="000000"/>
          <w:spacing w:val="2"/>
          <w:sz w:val="22"/>
          <w:szCs w:val="22"/>
        </w:rPr>
        <w:t> entre 2016 y 2022, recalca el Centro de Investigación y Formación de la CTA (Cifra) en su último informe de coyuntura. El ciclo político del Frente de Todos sirvió para mejorar relativamente algunas variables sensibles, como el costo salarial y la productividad, pero la </w:t>
      </w:r>
      <w:r w:rsidRPr="008D5101">
        <w:rPr>
          <w:rFonts w:ascii="Arial" w:hAnsi="Arial" w:cs="Arial"/>
          <w:b/>
          <w:bCs/>
          <w:color w:val="000000"/>
          <w:spacing w:val="2"/>
          <w:sz w:val="22"/>
          <w:szCs w:val="22"/>
        </w:rPr>
        <w:t>puja distributiva aún cuenta a los trabajadores entre los perdedores del modelo</w:t>
      </w:r>
      <w:r w:rsidRPr="008D5101">
        <w:rPr>
          <w:rFonts w:ascii="Arial" w:hAnsi="Arial" w:cs="Arial"/>
          <w:color w:val="000000"/>
          <w:spacing w:val="2"/>
          <w:sz w:val="22"/>
          <w:szCs w:val="22"/>
        </w:rPr>
        <w:t>, que ya tiene poco de nacional y popular.</w:t>
      </w:r>
    </w:p>
    <w:p w:rsidR="008D5101" w:rsidRPr="008D5101" w:rsidRDefault="008D5101" w:rsidP="008D5101">
      <w:pPr>
        <w:pStyle w:val="NormalWeb"/>
        <w:spacing w:before="0" w:beforeAutospacing="0" w:after="300" w:afterAutospacing="0" w:line="276" w:lineRule="auto"/>
        <w:rPr>
          <w:rFonts w:ascii="Arial" w:hAnsi="Arial" w:cs="Arial"/>
          <w:color w:val="000000"/>
          <w:spacing w:val="2"/>
          <w:sz w:val="22"/>
          <w:szCs w:val="22"/>
        </w:rPr>
      </w:pPr>
      <w:r w:rsidRPr="008D5101">
        <w:rPr>
          <w:rFonts w:ascii="Arial" w:hAnsi="Arial" w:cs="Arial"/>
          <w:color w:val="000000"/>
          <w:spacing w:val="2"/>
          <w:sz w:val="22"/>
          <w:szCs w:val="22"/>
        </w:rPr>
        <w:t xml:space="preserve">Es importante empezar por reconocer, como hace Cifra, que el proceso de crecimiento económico de la </w:t>
      </w:r>
      <w:proofErr w:type="spellStart"/>
      <w:r w:rsidRPr="008D5101">
        <w:rPr>
          <w:rFonts w:ascii="Arial" w:hAnsi="Arial" w:cs="Arial"/>
          <w:color w:val="000000"/>
          <w:spacing w:val="2"/>
          <w:sz w:val="22"/>
          <w:szCs w:val="22"/>
        </w:rPr>
        <w:t>postpandemia</w:t>
      </w:r>
      <w:proofErr w:type="spellEnd"/>
      <w:r w:rsidRPr="008D5101">
        <w:rPr>
          <w:rFonts w:ascii="Arial" w:hAnsi="Arial" w:cs="Arial"/>
          <w:color w:val="000000"/>
          <w:spacing w:val="2"/>
          <w:sz w:val="22"/>
          <w:szCs w:val="22"/>
        </w:rPr>
        <w:t xml:space="preserve"> fue más allá del rebote inicial pues </w:t>
      </w:r>
      <w:r w:rsidRPr="008D5101">
        <w:rPr>
          <w:rFonts w:ascii="Arial" w:hAnsi="Arial" w:cs="Arial"/>
          <w:b/>
          <w:bCs/>
          <w:color w:val="000000"/>
          <w:spacing w:val="2"/>
          <w:sz w:val="22"/>
          <w:szCs w:val="22"/>
        </w:rPr>
        <w:t xml:space="preserve">los indicadores de actividad y empleo alcanzaron en 2022 niveles similares </w:t>
      </w:r>
      <w:proofErr w:type="gramStart"/>
      <w:r w:rsidRPr="008D5101">
        <w:rPr>
          <w:rFonts w:ascii="Arial" w:hAnsi="Arial" w:cs="Arial"/>
          <w:b/>
          <w:bCs/>
          <w:color w:val="000000"/>
          <w:spacing w:val="2"/>
          <w:sz w:val="22"/>
          <w:szCs w:val="22"/>
        </w:rPr>
        <w:t>a los récord</w:t>
      </w:r>
      <w:proofErr w:type="gramEnd"/>
      <w:r w:rsidRPr="008D5101">
        <w:rPr>
          <w:rFonts w:ascii="Arial" w:hAnsi="Arial" w:cs="Arial"/>
          <w:b/>
          <w:bCs/>
          <w:color w:val="000000"/>
          <w:spacing w:val="2"/>
          <w:sz w:val="22"/>
          <w:szCs w:val="22"/>
        </w:rPr>
        <w:t xml:space="preserve"> de 2015 y 2017</w:t>
      </w:r>
      <w:r w:rsidRPr="008D5101">
        <w:rPr>
          <w:rFonts w:ascii="Arial" w:hAnsi="Arial" w:cs="Arial"/>
          <w:color w:val="000000"/>
          <w:spacing w:val="2"/>
          <w:sz w:val="22"/>
          <w:szCs w:val="22"/>
        </w:rPr>
        <w:t xml:space="preserve">, aunque parte de esa suba del empleo fue con trabajos por cuenta propia o no registrados. Ante este escenario, los autores Pablo </w:t>
      </w:r>
      <w:proofErr w:type="spellStart"/>
      <w:r w:rsidRPr="008D5101">
        <w:rPr>
          <w:rFonts w:ascii="Arial" w:hAnsi="Arial" w:cs="Arial"/>
          <w:color w:val="000000"/>
          <w:spacing w:val="2"/>
          <w:sz w:val="22"/>
          <w:szCs w:val="22"/>
        </w:rPr>
        <w:t>Manzanelli</w:t>
      </w:r>
      <w:proofErr w:type="spellEnd"/>
      <w:r w:rsidRPr="008D5101">
        <w:rPr>
          <w:rFonts w:ascii="Arial" w:hAnsi="Arial" w:cs="Arial"/>
          <w:color w:val="000000"/>
          <w:spacing w:val="2"/>
          <w:sz w:val="22"/>
          <w:szCs w:val="22"/>
        </w:rPr>
        <w:t xml:space="preserve"> y Cecilia Garriga se preguntan cuánto puede sostenerse el ciclo virtuoso dada la regresividad distributiva y </w:t>
      </w:r>
      <w:proofErr w:type="gramStart"/>
      <w:r w:rsidRPr="008D5101">
        <w:rPr>
          <w:rFonts w:ascii="Arial" w:hAnsi="Arial" w:cs="Arial"/>
          <w:color w:val="000000"/>
          <w:spacing w:val="2"/>
          <w:sz w:val="22"/>
          <w:szCs w:val="22"/>
        </w:rPr>
        <w:t>la escases</w:t>
      </w:r>
      <w:proofErr w:type="gramEnd"/>
      <w:r w:rsidRPr="008D5101">
        <w:rPr>
          <w:rFonts w:ascii="Arial" w:hAnsi="Arial" w:cs="Arial"/>
          <w:color w:val="000000"/>
          <w:spacing w:val="2"/>
          <w:sz w:val="22"/>
          <w:szCs w:val="22"/>
        </w:rPr>
        <w:t xml:space="preserve"> de divisas.</w:t>
      </w:r>
    </w:p>
    <w:p w:rsidR="008D5101" w:rsidRPr="008D5101" w:rsidRDefault="008D5101" w:rsidP="008D5101">
      <w:pPr>
        <w:pStyle w:val="Ttulo2"/>
        <w:spacing w:before="0" w:beforeAutospacing="0" w:after="390" w:afterAutospacing="0" w:line="276" w:lineRule="auto"/>
        <w:rPr>
          <w:rFonts w:ascii="Arial" w:hAnsi="Arial" w:cs="Arial"/>
          <w:color w:val="1B1B1B"/>
          <w:sz w:val="22"/>
          <w:szCs w:val="22"/>
        </w:rPr>
      </w:pPr>
      <w:r w:rsidRPr="008D5101">
        <w:rPr>
          <w:rFonts w:ascii="Arial" w:hAnsi="Arial" w:cs="Arial"/>
          <w:color w:val="1B1B1B"/>
          <w:sz w:val="22"/>
          <w:szCs w:val="22"/>
        </w:rPr>
        <w:t>Ganó el capital</w:t>
      </w:r>
    </w:p>
    <w:p w:rsidR="008D5101" w:rsidRPr="008D5101" w:rsidRDefault="008D5101" w:rsidP="008D5101">
      <w:pPr>
        <w:pStyle w:val="NormalWeb"/>
        <w:spacing w:before="0" w:beforeAutospacing="0" w:after="300" w:afterAutospacing="0" w:line="276" w:lineRule="auto"/>
        <w:rPr>
          <w:rFonts w:ascii="Arial" w:hAnsi="Arial" w:cs="Arial"/>
          <w:color w:val="000000"/>
          <w:spacing w:val="2"/>
          <w:sz w:val="22"/>
          <w:szCs w:val="22"/>
        </w:rPr>
      </w:pPr>
      <w:r w:rsidRPr="008D5101">
        <w:rPr>
          <w:rFonts w:ascii="Arial" w:hAnsi="Arial" w:cs="Arial"/>
          <w:color w:val="000000"/>
          <w:spacing w:val="2"/>
          <w:sz w:val="22"/>
          <w:szCs w:val="22"/>
        </w:rPr>
        <w:t>En el informe comparan la </w:t>
      </w:r>
      <w:r w:rsidRPr="008D5101">
        <w:rPr>
          <w:rFonts w:ascii="Arial" w:hAnsi="Arial" w:cs="Arial"/>
          <w:b/>
          <w:bCs/>
          <w:color w:val="000000"/>
          <w:spacing w:val="2"/>
          <w:sz w:val="22"/>
          <w:szCs w:val="22"/>
        </w:rPr>
        <w:t>evolución del costo salarial con la productividad</w:t>
      </w:r>
      <w:r w:rsidRPr="008D5101">
        <w:rPr>
          <w:rFonts w:ascii="Arial" w:hAnsi="Arial" w:cs="Arial"/>
          <w:color w:val="000000"/>
          <w:spacing w:val="2"/>
          <w:sz w:val="22"/>
          <w:szCs w:val="22"/>
        </w:rPr>
        <w:t xml:space="preserve"> (es decir, con las unidades producidas por cada trabajador) para dar cuenta de la reducción del peso relativo de los asalariados en el ingreso nacional. Durante el período 2016-2022, el costo salarial retrocedió 18,6 por ciento mientras que la productividad cayó menos, un 5,5 por ciento. Y puntualmente durante el ciclo de gobierno del Frente de </w:t>
      </w:r>
      <w:proofErr w:type="gramStart"/>
      <w:r w:rsidRPr="008D5101">
        <w:rPr>
          <w:rFonts w:ascii="Arial" w:hAnsi="Arial" w:cs="Arial"/>
          <w:color w:val="000000"/>
          <w:spacing w:val="2"/>
          <w:sz w:val="22"/>
          <w:szCs w:val="22"/>
        </w:rPr>
        <w:t>Todos la productividad</w:t>
      </w:r>
      <w:proofErr w:type="gramEnd"/>
      <w:r w:rsidRPr="008D5101">
        <w:rPr>
          <w:rFonts w:ascii="Arial" w:hAnsi="Arial" w:cs="Arial"/>
          <w:color w:val="000000"/>
          <w:spacing w:val="2"/>
          <w:sz w:val="22"/>
          <w:szCs w:val="22"/>
        </w:rPr>
        <w:t xml:space="preserve"> recuperó la fase ascendente, aumentando 0,8 por ciento, pero los costos salariales continuaron en descenso un 4,5. De modo que la regresividad se mantuvo.</w:t>
      </w:r>
    </w:p>
    <w:p w:rsidR="008D5101" w:rsidRPr="008D5101" w:rsidRDefault="008D5101" w:rsidP="008D5101">
      <w:pPr>
        <w:pStyle w:val="NormalWeb"/>
        <w:spacing w:before="0" w:beforeAutospacing="0" w:after="300" w:afterAutospacing="0" w:line="276" w:lineRule="auto"/>
        <w:rPr>
          <w:rFonts w:ascii="Arial" w:hAnsi="Arial" w:cs="Arial"/>
          <w:color w:val="000000"/>
          <w:spacing w:val="2"/>
          <w:sz w:val="22"/>
          <w:szCs w:val="22"/>
        </w:rPr>
      </w:pPr>
      <w:r w:rsidRPr="008D5101">
        <w:rPr>
          <w:rFonts w:ascii="Arial" w:hAnsi="Arial" w:cs="Arial"/>
          <w:color w:val="000000"/>
          <w:spacing w:val="2"/>
          <w:sz w:val="22"/>
          <w:szCs w:val="22"/>
        </w:rPr>
        <w:t>Más aún, </w:t>
      </w:r>
      <w:r w:rsidRPr="008D5101">
        <w:rPr>
          <w:rFonts w:ascii="Arial" w:hAnsi="Arial" w:cs="Arial"/>
          <w:b/>
          <w:bCs/>
          <w:color w:val="000000"/>
          <w:spacing w:val="2"/>
          <w:sz w:val="22"/>
          <w:szCs w:val="22"/>
        </w:rPr>
        <w:t>la regresividad distributiva se acentuó durante el ciclo expansivo del último bienio 2021-2022</w:t>
      </w:r>
      <w:r w:rsidRPr="008D5101">
        <w:rPr>
          <w:rFonts w:ascii="Arial" w:hAnsi="Arial" w:cs="Arial"/>
          <w:color w:val="000000"/>
          <w:spacing w:val="2"/>
          <w:sz w:val="22"/>
          <w:szCs w:val="22"/>
        </w:rPr>
        <w:t>. Según los cálculos de Cifra, “entre 2016-2022, cuando se desmorona la participación de los asalariados en el ingreso, la transferencia de ingresos del trabajo al capital alcanzó aproximadamente a 87.800 millones de dólares al tipo de cambio oficial”, mientras que en un contexto de crecimiento económico entre 2021 y 2022, dicha transferencia fue de 48.400 millones de dólares.</w:t>
      </w:r>
    </w:p>
    <w:p w:rsidR="008D5101" w:rsidRPr="008D5101" w:rsidRDefault="008D5101" w:rsidP="008D5101">
      <w:pPr>
        <w:pStyle w:val="NormalWeb"/>
        <w:spacing w:before="0" w:beforeAutospacing="0" w:after="300" w:afterAutospacing="0" w:line="276" w:lineRule="auto"/>
        <w:rPr>
          <w:rFonts w:ascii="Arial" w:hAnsi="Arial" w:cs="Arial"/>
          <w:color w:val="000000"/>
          <w:spacing w:val="2"/>
          <w:sz w:val="22"/>
          <w:szCs w:val="22"/>
        </w:rPr>
      </w:pPr>
      <w:r w:rsidRPr="008D5101">
        <w:rPr>
          <w:rFonts w:ascii="Arial" w:hAnsi="Arial" w:cs="Arial"/>
          <w:color w:val="000000"/>
          <w:spacing w:val="2"/>
          <w:sz w:val="22"/>
          <w:szCs w:val="22"/>
        </w:rPr>
        <w:t>Por otra parte, desde Cifra argumentan que la paradoja entre una </w:t>
      </w:r>
      <w:r w:rsidRPr="008D5101">
        <w:rPr>
          <w:rFonts w:ascii="Arial" w:hAnsi="Arial" w:cs="Arial"/>
          <w:b/>
          <w:bCs/>
          <w:color w:val="000000"/>
          <w:spacing w:val="2"/>
          <w:sz w:val="22"/>
          <w:szCs w:val="22"/>
        </w:rPr>
        <w:t>saludable evolución del consumo privado</w:t>
      </w:r>
      <w:r w:rsidRPr="008D5101">
        <w:rPr>
          <w:rFonts w:ascii="Arial" w:hAnsi="Arial" w:cs="Arial"/>
          <w:color w:val="000000"/>
          <w:spacing w:val="2"/>
          <w:sz w:val="22"/>
          <w:szCs w:val="22"/>
        </w:rPr>
        <w:t> y los altos niveles de </w:t>
      </w:r>
      <w:r w:rsidRPr="008D5101">
        <w:rPr>
          <w:rFonts w:ascii="Arial" w:hAnsi="Arial" w:cs="Arial"/>
          <w:b/>
          <w:bCs/>
          <w:color w:val="000000"/>
          <w:spacing w:val="2"/>
          <w:sz w:val="22"/>
          <w:szCs w:val="22"/>
        </w:rPr>
        <w:t>pobreza</w:t>
      </w:r>
      <w:r w:rsidRPr="008D5101">
        <w:rPr>
          <w:rFonts w:ascii="Arial" w:hAnsi="Arial" w:cs="Arial"/>
          <w:color w:val="000000"/>
          <w:spacing w:val="2"/>
          <w:sz w:val="22"/>
          <w:szCs w:val="22"/>
        </w:rPr>
        <w:t> e inflación que se observan en la actualidad es consistente con la sostenida regresividad distributiva. Como se dijo, la participación de los trabajadores en el ingreso apenas alcanza al 43,9 por ciento a fines de 2022.</w:t>
      </w:r>
    </w:p>
    <w:p w:rsidR="002953FA" w:rsidRPr="008D5101" w:rsidRDefault="002953FA" w:rsidP="008D5101">
      <w:pPr>
        <w:spacing w:line="276" w:lineRule="auto"/>
      </w:pPr>
    </w:p>
    <w:sectPr w:rsidR="002953FA" w:rsidRPr="008D5101" w:rsidSect="008D51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01"/>
    <w:rsid w:val="002953FA"/>
    <w:rsid w:val="008D5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2FCC"/>
  <w15:chartTrackingRefBased/>
  <w15:docId w15:val="{F4C94D9C-DD28-44DC-BFE8-89EEA701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D5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D51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10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D510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D510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8D51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256847">
      <w:bodyDiv w:val="1"/>
      <w:marLeft w:val="0"/>
      <w:marRight w:val="0"/>
      <w:marTop w:val="0"/>
      <w:marBottom w:val="0"/>
      <w:divBdr>
        <w:top w:val="none" w:sz="0" w:space="0" w:color="auto"/>
        <w:left w:val="none" w:sz="0" w:space="0" w:color="auto"/>
        <w:bottom w:val="none" w:sz="0" w:space="0" w:color="auto"/>
        <w:right w:val="none" w:sz="0" w:space="0" w:color="auto"/>
      </w:divBdr>
    </w:div>
    <w:div w:id="18879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459</Words>
  <Characters>2530</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MaRi</cp:lastModifiedBy>
  <cp:revision>1</cp:revision>
  <dcterms:created xsi:type="dcterms:W3CDTF">2023-03-30T20:17:00Z</dcterms:created>
  <dcterms:modified xsi:type="dcterms:W3CDTF">2023-03-30T20:21:00Z</dcterms:modified>
</cp:coreProperties>
</file>