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</w:pPr>
      <w:r>
        <w:rPr>
          <w:rFonts w:ascii="Cambria" w:cs="Cambria" w:eastAsia="Cambria" w:hAnsi="Cambria"/>
          <w:b/>
          <w:bCs/>
          <w:color w:val="1E2761"/>
          <w:sz w:val="44"/>
          <w:szCs w:val="44"/>
        </w:rPr>
        <w:t xml:space="preserve">STATE OF DATA BRASIL</w:t>
      </w:r>
    </w:p>
    <w:p>
      <w:pPr>
        <w:spacing w:after="300"/>
      </w:pPr>
      <w:r>
        <w:rPr>
          <w:rFonts w:ascii="Calibri" w:cs="Calibri" w:eastAsia="Calibri" w:hAnsi="Calibri"/>
          <w:color w:val="1A1A2E"/>
          <w:sz w:val="26"/>
          <w:szCs w:val="26"/>
        </w:rPr>
        <w:t xml:space="preserve">Relatório Executivo — Panorama do Mercado de Dados no Brasil (2023–2026)</w:t>
      </w:r>
    </w:p>
    <w:p>
      <w:pPr>
        <w:pBdr>
          <w:bottom w:val="single" w:color="F2A900" w:sz="6"/>
        </w:pBdr>
        <w:spacing w:after="240" w:before="120"/>
      </w:pP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6B7280"/>
          <w:sz w:val="18"/>
          <w:szCs w:val="18"/>
        </w:rPr>
        <w:t xml:space="preserve">Fonte de dados: State of Data Brasil — Data Hackers + Bain (Kaggle)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6B7280"/>
          <w:sz w:val="18"/>
          <w:szCs w:val="18"/>
        </w:rPr>
        <w:t xml:space="preserve">Ferramentas: AWS (S3, Glue, Athena), PySpark, Draw.io, PowerPoint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6B7280"/>
          <w:sz w:val="18"/>
          <w:szCs w:val="18"/>
        </w:rPr>
        <w:t xml:space="preserve">Repositório: github.com/gabrielsbn/state-of-data-brasil-pipeline</w:t>
      </w:r>
    </w:p>
    <w:p>
      <w:pPr>
        <w:spacing w:after="100"/>
      </w:pPr>
      <w:r>
        <w:rPr>
          <w:rFonts w:ascii="Calibri" w:cs="Calibri" w:eastAsia="Calibri" w:hAnsi="Calibri"/>
          <w:i w:val="false"/>
          <w:iCs w:val="false"/>
          <w:color w:val="6B7280"/>
          <w:sz w:val="18"/>
          <w:szCs w:val="18"/>
        </w:rPr>
        <w:t xml:space="preserve">Vídeo executivo: youtu.be/bsXQTBa6kuA</w:t>
      </w:r>
    </w:p>
    <w:p>
      <w:pPr>
        <w:spacing w:after="60" w:before="4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Gabriel da Silva Brandão Nascimento — RM374018</w:t>
      </w:r>
    </w:p>
    <w:p>
      <w:r>
        <w:rPr>
          <w:rFonts w:ascii="Calibri" w:cs="Calibri" w:eastAsia="Calibri" w:hAnsi="Calibri"/>
          <w:color w:val="6B7280"/>
          <w:sz w:val="22"/>
          <w:szCs w:val="22"/>
        </w:rPr>
        <w:t xml:space="preserve">Pós-Tech em Data Analytics — FIAP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mbria" w:cs="Cambria" w:eastAsia="Cambria" w:hAnsi="Cambria"/>
          <w:b/>
          <w:bCs/>
          <w:color w:val="1E2761"/>
          <w:sz w:val="32"/>
          <w:szCs w:val="32"/>
        </w:rPr>
        <w:t xml:space="preserve">1. Sumário Executivo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Este relatório apresenta uma leitura executiva do mercado brasileiro de Dados, Analytics e Inteligência Artificial, construída a partir de três edições consecutivas da pesquisa State of Data Brasil (2023-2024, 2024-2025 e 2025-2026). O objetivo é apoiar decisões de contratação, capacitação e investimento em tecnologia de uma instituição financeira que planeja expandir sua área de Dados e IA.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Para viabilizar essa análise, foi construído um pipeline completo de engenharia de dados em ambiente AWS — da ingestão bruta das três bases até tabelas analíticas prontas para consulta — resolvendo, no caminho, inconsistências reais de schema entre as edições da pesquisa (mudança de codificação de perguntas, reindexação de opções de resposta, erros de digitação nas faixas de resposta).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50"/>
      </w:tblGrid>
      <w:tr>
        <w:tc>
          <w:tcPr>
            <w:tcW w:type="dxa" w:w="42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515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Respondentes analisados</w:t>
            </w:r>
          </w:p>
        </w:tc>
        <w:tc>
          <w:tcPr>
            <w:tcW w:type="dxa" w:w="51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14.005 profissionais</w:t>
            </w:r>
          </w:p>
        </w:tc>
      </w:tr>
      <w:tr>
        <w:tc>
          <w:tcPr>
            <w:tcW w:type="dxa" w:w="4200"/>
            <w:shd w:fill="F2F5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Edições da pesquisa</w:t>
            </w:r>
          </w:p>
        </w:tc>
        <w:tc>
          <w:tcPr>
            <w:tcW w:type="dxa" w:w="5150"/>
            <w:shd w:fill="F2F5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 (2023-2024, 2024-2025, 2025-2026)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Tabelas analíticas construídas</w:t>
            </w:r>
          </w:p>
        </w:tc>
        <w:tc>
          <w:tcPr>
            <w:tcW w:type="dxa" w:w="51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 (perfil de mercado, remuneração, diversidade, tecnologias, adoção de IA)</w:t>
            </w:r>
          </w:p>
        </w:tc>
      </w:tr>
      <w:tr>
        <w:tc>
          <w:tcPr>
            <w:tcW w:type="dxa" w:w="4200"/>
            <w:shd w:fill="F2F5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Cargo mais comum</w:t>
            </w:r>
          </w:p>
        </w:tc>
        <w:tc>
          <w:tcPr>
            <w:tcW w:type="dxa" w:w="5150"/>
            <w:shd w:fill="F2F5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Analista de Dados (~24%)</w:t>
            </w:r>
          </w:p>
        </w:tc>
      </w:tr>
      <w:tr>
        <w:tc>
          <w:tcPr>
            <w:tcW w:type="dxa" w:w="4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Crescimento na priorização de IA</w:t>
            </w:r>
          </w:p>
        </w:tc>
        <w:tc>
          <w:tcPr>
            <w:tcW w:type="dxa" w:w="51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36,2% → 60,6% em 3 anos</w:t>
            </w:r>
          </w:p>
        </w:tc>
      </w:tr>
      <w:tr>
        <w:tc>
          <w:tcPr>
            <w:tcW w:type="dxa" w:w="4200"/>
            <w:shd w:fill="F2F5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Concentração regional</w:t>
            </w:r>
          </w:p>
        </w:tc>
        <w:tc>
          <w:tcPr>
            <w:tcW w:type="dxa" w:w="5150"/>
            <w:shd w:fill="F2F5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Sudeste concentra 62,3% dos profissionais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Conclusão antecipada: o mercado brasileiro de dados é maduro em perfis de Analytics, mas ainda tem oferta escassa em Engenharia de ML e Arquitetura de Dados — exatamente os perfis mais bem remunerados. A adoção de Inteligência Artificial deixou de ser uma iniciativa isolada: a priorização por parte de gestores praticamente dobrou em três anos, e o principal obstáculo remanescente é técnico (expertise e maturidade de dados), não falta de patrocínio executivo.</w:t>
      </w:r>
    </w:p>
    <w:p>
      <w:pPr>
        <w:pStyle w:val="Heading1"/>
        <w:spacing w:after="180" w:before="360"/>
      </w:pPr>
      <w:r>
        <w:rPr>
          <w:rFonts w:ascii="Cambria" w:cs="Cambria" w:eastAsia="Cambria" w:hAnsi="Cambria"/>
          <w:b/>
          <w:bCs/>
          <w:color w:val="1E2761"/>
          <w:sz w:val="32"/>
          <w:szCs w:val="32"/>
        </w:rPr>
        <w:t xml:space="preserve">2. Contexto, Dados e Metodologia</w:t>
      </w:r>
    </w:p>
    <w:p>
      <w:pPr>
        <w:pStyle w:val="Heading2"/>
        <w:spacing w:after="140" w:before="260"/>
      </w:pPr>
      <w:r>
        <w:rPr>
          <w:rFonts w:ascii="Cambria" w:cs="Cambria" w:eastAsia="Cambria" w:hAnsi="Cambria"/>
          <w:b/>
          <w:bCs/>
          <w:color w:val="1E2761"/>
          <w:sz w:val="24"/>
          <w:szCs w:val="24"/>
        </w:rPr>
        <w:t xml:space="preserve">2.1 O Problema de Negócio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empresa contratante — uma instituição financeira de grande porte — pretende expandir sua área de Dados, Analytics e Inteligência Artificial, mas precisa primeiro compreender o cenário atual do mercado brasileiro para definir estratégias de contratação, capacitação de profissionais e investimento em tecnologia.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pergunta que orienta esta análise: como está estruturado o mercado de dados hoje, quais perfis são mais valorizados, que tecnologias dominam, e qual o estágio real de adoção de IA nas empresas? Sem essa leitura, decisões de investimento correm o risco de mirar em perfis ou tecnologias que não refletem a demanda real do mercado.</w:t>
      </w:r>
    </w:p>
    <w:p>
      <w:pPr>
        <w:pStyle w:val="Heading2"/>
        <w:spacing w:after="140" w:before="260"/>
      </w:pPr>
      <w:r>
        <w:rPr>
          <w:rFonts w:ascii="Cambria" w:cs="Cambria" w:eastAsia="Cambria" w:hAnsi="Cambria"/>
          <w:b/>
          <w:bCs/>
          <w:color w:val="1E2761"/>
          <w:sz w:val="24"/>
          <w:szCs w:val="24"/>
        </w:rPr>
        <w:t xml:space="preserve">2.2 A Base de Dados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pesquisa State of Data Brasil, realizada pela comunidade Data Hackers em parceria com a Bain, é uma das mais completas fontes de informação sobre o perfil dos profissionais de dados no país. Foram utilizadas as 3 edições mais recentes, disponibilizadas publicamente no Kaggle, totalizando 14.005 respostas.</w:t>
      </w:r>
    </w:p>
    <w:p>
      <w:pPr>
        <w:pStyle w:val="Heading2"/>
        <w:spacing w:after="140" w:before="260"/>
      </w:pPr>
      <w:r>
        <w:rPr>
          <w:rFonts w:ascii="Cambria" w:cs="Cambria" w:eastAsia="Cambria" w:hAnsi="Cambria"/>
          <w:b/>
          <w:bCs/>
          <w:color w:val="1E2761"/>
          <w:sz w:val="24"/>
          <w:szCs w:val="24"/>
        </w:rPr>
        <w:t xml:space="preserve">2.3 Arquitetura da Solução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pipeline foi construído inteiramente em AWS, seguindo a arquitetura de camadas Bronze (dado bruto), Silver (schema harmonizado e tipado) e Gold (tabelas analíticas por tema de negócio), com catalogação via Glue Data Catalog e consulta via Athena.</w:t>
      </w:r>
    </w:p>
    <w:p>
      <w:pPr>
        <w:spacing w:after="200"/>
        <w:jc w:val="center"/>
      </w:pPr>
      <w:r>
        <w:drawing>
          <wp:inline distT="0" distB="0" distL="0" distR="0">
            <wp:extent cx="552450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Diagrama completo da arquitetura da solução.</w:t>
      </w:r>
    </w:p>
    <w:p>
      <w:pPr>
        <w:pStyle w:val="Heading2"/>
        <w:spacing w:after="140" w:before="260"/>
      </w:pPr>
      <w:r>
        <w:rPr>
          <w:rFonts w:ascii="Cambria" w:cs="Cambria" w:eastAsia="Cambria" w:hAnsi="Cambria"/>
          <w:b/>
          <w:bCs/>
          <w:color w:val="1E2761"/>
          <w:sz w:val="24"/>
          <w:szCs w:val="24"/>
        </w:rPr>
        <w:t xml:space="preserve">2.4 Decisões Metodológicas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0"/>
      </w:tblGrid>
      <w:tr>
        <w:tc>
          <w:tcPr>
            <w:tcW w:type="dxa" w:w="36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575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Três tabelas Bronze separadas (uma por edição)</w:t>
            </w:r>
          </w:p>
        </w:tc>
        <w:tc>
          <w:tcPr>
            <w:tcW w:type="dxa" w:w="5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As edições têm schemas diferentes entre si; uma tabela única particionada exigiria colunas idênticas</w:t>
            </w:r>
          </w:p>
        </w:tc>
      </w:tr>
      <w:tr>
        <w:tc>
          <w:tcPr>
            <w:tcW w:type="dxa" w:w="3600"/>
            <w:shd w:fill="F2F5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Nomes de coluna por descrição, não por código técnico</w:t>
            </w:r>
          </w:p>
        </w:tc>
        <w:tc>
          <w:tcPr>
            <w:tcW w:type="dxa" w:w="5750"/>
            <w:shd w:fill="F2F5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 código da pergunta (ex: P4_d) provou não ser estável entre edições — a mesma posição já representou perguntas diferentes</w:t>
            </w:r>
          </w:p>
        </w:tc>
      </w:tr>
      <w:tr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Colunas 'agrupadas' para cargo e senioridade</w:t>
            </w:r>
          </w:p>
        </w:tc>
        <w:tc>
          <w:tcPr>
            <w:tcW w:type="dxa" w:w="5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Preserva a granularidade original, mas cria uma versão comparável ano a ano quando uma categoria se divide ou se funde entre edições</w:t>
            </w:r>
          </w:p>
        </w:tc>
      </w:tr>
      <w:tr>
        <w:tc>
          <w:tcPr>
            <w:tcW w:type="dxa" w:w="3600"/>
            <w:shd w:fill="F2F5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Salário estimado pelo ponto médio da faixa</w:t>
            </w:r>
          </w:p>
        </w:tc>
        <w:tc>
          <w:tcPr>
            <w:tcW w:type="dxa" w:w="5750"/>
            <w:shd w:fill="F2F5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 pesquisa coleta remuneração por faixa, não valor exato — o ponto médio permite comparação de tendência entre grupos</w:t>
            </w:r>
          </w:p>
        </w:tc>
      </w:tr>
      <w:tr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Tabelas de tecnologia e IA em formato longo (unpivot)</w:t>
            </w:r>
          </w:p>
        </w:tc>
        <w:tc>
          <w:tcPr>
            <w:tcW w:type="dxa" w:w="57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Evita uma tabela com centenas de colunas binárias; permite consulta flexível por tecnologia</w:t>
            </w:r>
          </w:p>
        </w:tc>
      </w:tr>
    </w:tbl>
    <w:p>
      <w:pPr>
        <w:pStyle w:val="Heading1"/>
        <w:spacing w:after="180" w:before="360"/>
      </w:pPr>
      <w:r>
        <w:rPr>
          <w:rFonts w:ascii="Cambria" w:cs="Cambria" w:eastAsia="Cambria" w:hAnsi="Cambria"/>
          <w:b/>
          <w:bCs/>
          <w:color w:val="1E2761"/>
          <w:sz w:val="32"/>
          <w:szCs w:val="32"/>
        </w:rPr>
        <w:t xml:space="preserve">3. Principais Achados</w:t>
      </w:r>
    </w:p>
    <w:p>
      <w:pPr>
        <w:pStyle w:val="Heading2"/>
        <w:spacing w:after="140" w:before="260"/>
      </w:pPr>
      <w:r>
        <w:rPr>
          <w:rFonts w:ascii="Cambria" w:cs="Cambria" w:eastAsia="Cambria" w:hAnsi="Cambria"/>
          <w:b/>
          <w:bCs/>
          <w:color w:val="1E2761"/>
          <w:sz w:val="24"/>
          <w:szCs w:val="24"/>
        </w:rPr>
        <w:t xml:space="preserve">3.1 Estrutura do Mercado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Analista de Dados segue como a porta de entrada dominante do mercado (~24% dos profissionais), com Engenharia/Arquitetura de Dados e Ciência de Dados logo atrás (~17% cada), estável nos três anos. A senioridade da base está subindo de forma consistente: quase metade dos profissionais já é Sênior ou Especialista em 2025-2026, contra 37% em 2023-2024. Observa-se também um movimento de retorno ao escritório — o trabalho 100% remoto caiu de 46% para 40% no período, com crescimento do modelo presencial e híbrido com dias fixos.</w:t>
      </w:r>
    </w:p>
    <w:p>
      <w:pPr>
        <w:pStyle w:val="Heading2"/>
        <w:spacing w:after="140" w:before="260"/>
      </w:pPr>
      <w:r>
        <w:rPr>
          <w:rFonts w:ascii="Cambria" w:cs="Cambria" w:eastAsia="Cambria" w:hAnsi="Cambria"/>
          <w:b/>
          <w:bCs/>
          <w:color w:val="1E2761"/>
          <w:sz w:val="24"/>
          <w:szCs w:val="24"/>
        </w:rPr>
        <w:t xml:space="preserve">3.2 Perfis Mais Valorizados (Remuneração)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Engenharia de Machine Learning e Arquitetura de Dados lideram a remuneração média no topo da carreira — reflexo direto da escassez desses perfis frente à alta oferta de Analistas. A hierarquia salarial é consistente: quanto maior a senioridade, maior o salário médio, em todos os cargos analisados.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Nota metodológica: os valores de salário são estimados pelo ponto médio de cada faixa de resposta e servem para comparação de tendência entre grupos, não como valor exato de nenhum indivíduo.</w:t>
      </w:r>
    </w:p>
    <w:p>
      <w:pPr>
        <w:pStyle w:val="Heading2"/>
        <w:spacing w:after="140" w:before="260"/>
      </w:pPr>
      <w:r>
        <w:rPr>
          <w:rFonts w:ascii="Cambria" w:cs="Cambria" w:eastAsia="Cambria" w:hAnsi="Cambria"/>
          <w:b/>
          <w:bCs/>
          <w:color w:val="1E2761"/>
          <w:sz w:val="24"/>
          <w:szCs w:val="24"/>
        </w:rPr>
        <w:t xml:space="preserve">3.3 Diversidade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mercado segue predominantemente masculino (77,5%/22,0% em 2025-2026), com a participação feminina em queda consistente ao longo das três edições (24,4% → 22,0%). Quando questionados diretamente, gênero é o fator mais citado de prejuízo profissional percebido (15,4%), à frente de cor/raça/etnia (11,0%) e condição de PCD (1,7%).</w:t>
      </w:r>
    </w:p>
    <w:p>
      <w:pPr>
        <w:pStyle w:val="Heading2"/>
        <w:spacing w:after="140" w:before="260"/>
      </w:pPr>
      <w:r>
        <w:rPr>
          <w:rFonts w:ascii="Cambria" w:cs="Cambria" w:eastAsia="Cambria" w:hAnsi="Cambria"/>
          <w:b/>
          <w:bCs/>
          <w:color w:val="1E2761"/>
          <w:sz w:val="24"/>
          <w:szCs w:val="24"/>
        </w:rPr>
        <w:t xml:space="preserve">3.4 Tecnologias em Adoção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SQL e Python seguem como base técnica quase universal (60,3% e 56,3% de adoção). Em nuvem, a AWS lidera com folga (29,0%) sobre Azure e GCP. O ecossistema de bancos de dados é mais diversificado, com PostgreSQL na liderança (22,1%). Em Business Intelligence, o Power BI é amplamente dominante — mais que o dobro do segundo colocado, Looker.</w:t>
      </w:r>
    </w:p>
    <w:p>
      <w:pPr>
        <w:pStyle w:val="Heading2"/>
        <w:spacing w:after="140" w:before="260"/>
      </w:pPr>
      <w:r>
        <w:rPr>
          <w:rFonts w:ascii="Cambria" w:cs="Cambria" w:eastAsia="Cambria" w:hAnsi="Cambria"/>
          <w:b/>
          <w:bCs/>
          <w:color w:val="1E2761"/>
          <w:sz w:val="24"/>
          <w:szCs w:val="24"/>
        </w:rPr>
        <w:t xml:space="preserve">3.5 Adoção de Inteligência Artificial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Este é o achado mais expressivo da análise: entre gestores, a priorização de IA generativa saltou de 36,2% em 2023-2024 para 60,6% em 2025-2026 — um crescimento de 24,4 pontos percentuais em três edições. Entre as empresas que ainda não adotam IA, a barreira não é falta de patrocínio executivo (citado por apenas 7,5%), mas sim falta de expertise técnica (38,8%) e de maturidade de dados (36,8%).</w:t>
      </w:r>
    </w:p>
    <w:p>
      <w:pPr>
        <w:pStyle w:val="Heading2"/>
        <w:spacing w:after="140" w:before="260"/>
      </w:pPr>
      <w:r>
        <w:rPr>
          <w:rFonts w:ascii="Cambria" w:cs="Cambria" w:eastAsia="Cambria" w:hAnsi="Cambria"/>
          <w:b/>
          <w:bCs/>
          <w:color w:val="1E2761"/>
          <w:sz w:val="24"/>
          <w:szCs w:val="24"/>
        </w:rPr>
        <w:t xml:space="preserve">3.6 Diferenças Regionais e de Modelo de Trabalho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Sudeste concentra 62,3% dos profissionais de dados do país e também paga o maior salário médio estimado — uma diferença de até 33% em relação ao Nordeste. No modelo de trabalho, existe um desalinhamento relevante entre o que a empresa oferece e o que o profissional deseja: cerca de 1.700 profissionais hoje em regime presencial preferem um modelo híbrido ou remoto, o que representa um risco real de retenção de talento.</w:t>
      </w:r>
    </w:p>
    <w:p>
      <w:pPr>
        <w:pStyle w:val="Heading1"/>
        <w:spacing w:after="180" w:before="360"/>
      </w:pPr>
      <w:r>
        <w:rPr>
          <w:rFonts w:ascii="Cambria" w:cs="Cambria" w:eastAsia="Cambria" w:hAnsi="Cambria"/>
          <w:b/>
          <w:bCs/>
          <w:color w:val="1E2761"/>
          <w:sz w:val="32"/>
          <w:szCs w:val="32"/>
        </w:rPr>
        <w:t xml:space="preserve">4. Conclusão e Recomendações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análise confirma um mercado de dados brasileiro maduro em perfis de Analytics, mas ainda com oferta escassa nos perfis mais avançados de Engenharia de Dados e Machine Learning — exatamente os mais bem remunerados. Para uma instituição financeira avaliando investimento na área, cinco pontos emergem como prioritários: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Mercado maduro em Analytics, incipiente em capacidade de colocar modelos de IA em produção — vetor de investimento em capacitação técnica especializada.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IA deixou de ser uma iniciativa isolada — o gargalo para adoção é técnico (expertise e maturidade de dados), não falta de patrocínio executivo.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 queda na participação feminina é simultaneamente um sinal de alerta e uma oportunidade de diferenciação competitiva na atração de talento.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Políticas rígidas de trabalho presencial representam risco real de retenção — quase 1.700 profissionais hoje presenciais preferem outro modelo.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Existe espaço real para expansão de contratação fora do eixo Sudeste, com potencial de redução de custo sem abrir mão de qualidade técnica.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Os dados, o código e a documentação completa do pipeline estão disponíveis em: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github.com/gabrielsbn/state-of-data-brasil-pipeline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Vídeo da apresentação executiva: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youtu.be/bsXQTBa6kuA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mbria" w:cs="Cambria" w:eastAsia="Cambria" w:hAnsi="Cambria"/>
          <w:b/>
          <w:bCs/>
          <w:color w:val="1E2761"/>
          <w:sz w:val="32"/>
          <w:szCs w:val="32"/>
        </w:rPr>
        <w:t xml:space="preserve">Apresentação Executiva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Os slides a seguir sintetizam os principais insights da análise em linguagem executiva.</w:t>
      </w:r>
    </w:p>
    <w:p>
      <w:pPr>
        <w:spacing w:after="20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467ac6f3b132465de78f9ec875a0321ae5dbbf1.png"/><Relationship Id="rId8" Type="http://schemas.openxmlformats.org/officeDocument/2006/relationships/image" Target="media/6b027fd1cb51eacbb5eb8f2a879980171aa69e57.jpg"/><Relationship Id="rId9" Type="http://schemas.openxmlformats.org/officeDocument/2006/relationships/image" Target="media/e0bfd108e3b9b943b83a745438f86603dd3ba5df.jpg"/><Relationship Id="rId10" Type="http://schemas.openxmlformats.org/officeDocument/2006/relationships/image" Target="media/297635983d0d3758fdc65226a8d2497758ae4fd9.jpg"/><Relationship Id="rId11" Type="http://schemas.openxmlformats.org/officeDocument/2006/relationships/image" Target="media/030daf4fd999e746cfa67faaf4fbb72388116c9c.jpg"/><Relationship Id="rId12" Type="http://schemas.openxmlformats.org/officeDocument/2006/relationships/image" Target="media/c514a3a4cba75e6ba012a72667e468ba5a3c73e8.jpg"/><Relationship Id="rId13" Type="http://schemas.openxmlformats.org/officeDocument/2006/relationships/image" Target="media/18d06f762c0cfe7468d9b5df8ccc74d683c16ad2.jpg"/><Relationship Id="rId14" Type="http://schemas.openxmlformats.org/officeDocument/2006/relationships/image" Target="media/f79a03012e98254436fd8c66f387da6c232f81d5.jpg"/><Relationship Id="rId15" Type="http://schemas.openxmlformats.org/officeDocument/2006/relationships/image" Target="media/14fe043a8ef5d942fdcd1ae7ee92d81d3de9330c.jpg"/><Relationship Id="rId16" Type="http://schemas.openxmlformats.org/officeDocument/2006/relationships/image" Target="media/3fc980519fe9f508a0526d94d51811eb3733c6ed.jpg"/><Relationship Id="rId17" Type="http://schemas.openxmlformats.org/officeDocument/2006/relationships/image" Target="media/c6a88b7c718f21e84f0d0f7516ee268fcad79b97.jpg"/><Relationship Id="rId18" Type="http://schemas.openxmlformats.org/officeDocument/2006/relationships/image" Target="media/1ad09db6a08027956b5b88d007899f4676efe669.jpg"/><Relationship Id="rId19" Type="http://schemas.openxmlformats.org/officeDocument/2006/relationships/image" Target="media/a8f7b715e9ef155a1bf88807b59338c445c27ae7.jpg"/><Relationship Id="rId20" Type="http://schemas.openxmlformats.org/officeDocument/2006/relationships/image" Target="media/8484a7c77fa53050245545cfbf8830436432b9b0.jpg"/><Relationship Id="rId21" Type="http://schemas.openxmlformats.org/officeDocument/2006/relationships/image" Target="media/f93e7134f4885900131ebbe54b5b9055fcfd50e7.jpg"/><Relationship Id="rId22" Type="http://schemas.openxmlformats.org/officeDocument/2006/relationships/image" Target="media/366c016771724153d68323a6a813c3d2aded41c4.jpg"/><Relationship Id="rId23" Type="http://schemas.openxmlformats.org/officeDocument/2006/relationships/image" Target="media/175e988b227f095865397c36ab90907809fd1f71.jpg"/><Relationship Id="rId24" Type="http://schemas.openxmlformats.org/officeDocument/2006/relationships/image" Target="media/d1678e7d18f363f784a2dbf2febd68ff5565eb7f.jpg"/><Relationship Id="rId25" Type="http://schemas.openxmlformats.org/officeDocument/2006/relationships/image" Target="media/4dfd5fae31ab643bbe0edcc82a92eed05d83180f.jpg"/><Relationship Id="rId26" Type="http://schemas.openxmlformats.org/officeDocument/2006/relationships/image" Target="media/4b0b7da4c38da88d6dba5789f419fd338d575be4.jp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2026-09-15T21:36:36.883Z</dcterms:created>
  <dcterms:modified xsi:type="dcterms:W3CDTF">2026-09-15T21:36:36.893Z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