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</w:pPr>
      <w:r>
        <w:rPr>
          <w:rFonts w:ascii="Cambria" w:cs="Cambria" w:eastAsia="Cambria" w:hAnsi="Cambria"/>
          <w:b/>
          <w:bCs/>
          <w:color w:val="1E2761"/>
          <w:sz w:val="44"/>
          <w:szCs w:val="44"/>
        </w:rPr>
        <w:t xml:space="preserve">STATE OF DATA BRASIL</w:t>
      </w:r>
    </w:p>
    <w:p>
      <w:pPr>
        <w:spacing w:after="300"/>
      </w:pPr>
      <w:r>
        <w:rPr>
          <w:rFonts w:ascii="Calibri" w:cs="Calibri" w:eastAsia="Calibri" w:hAnsi="Calibri"/>
          <w:color w:val="1A1A2E"/>
          <w:sz w:val="26"/>
          <w:szCs w:val="26"/>
        </w:rPr>
        <w:t xml:space="preserve">Relatório Executivo — Panorama do Mercado de Dados no Brasil (2023–2026)</w:t>
      </w:r>
    </w:p>
    <w:p>
      <w:pPr>
        <w:pBdr>
          <w:bottom w:val="single" w:color="F2A900" w:sz="6"/>
        </w:pBdr>
        <w:spacing w:after="240" w:before="120"/>
      </w:pP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6B7280"/>
          <w:sz w:val="18"/>
          <w:szCs w:val="18"/>
        </w:rPr>
        <w:t xml:space="preserve">Fonte de dados: State of Data Brasil — Data Hackers + Bain (Kaggle)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6B7280"/>
          <w:sz w:val="18"/>
          <w:szCs w:val="18"/>
        </w:rPr>
        <w:t xml:space="preserve">Ferramentas: AWS (S3, Glue, Athena), PySpark, Draw.io, PowerPoint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6B7280"/>
          <w:sz w:val="18"/>
          <w:szCs w:val="18"/>
        </w:rPr>
        <w:t xml:space="preserve">Repositório: github.com/gabrielsbn/state-of-data-brasil-pipeline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6B7280"/>
          <w:sz w:val="18"/>
          <w:szCs w:val="18"/>
        </w:rPr>
        <w:t xml:space="preserve">Vídeo executivo: youtu.be/SEU-VIDEO-AQUI</w:t>
      </w:r>
    </w:p>
    <w:p>
      <w:pPr>
        <w:spacing w:after="60" w:before="400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Gabriel da Silva Brandão Nascimento — RM374018</w:t>
      </w:r>
    </w:p>
    <w:p>
      <w:r>
        <w:rPr>
          <w:rFonts w:ascii="Calibri" w:cs="Calibri" w:eastAsia="Calibri" w:hAnsi="Calibri"/>
          <w:color w:val="6B7280"/>
          <w:sz w:val="22"/>
          <w:szCs w:val="22"/>
        </w:rPr>
        <w:t xml:space="preserve">Pós-Tech em Data Analytics — FIAP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1. Sumário Executivo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Este relatório apresenta uma leitura executiva do mercado brasileiro de Dados, Analytics e Inteligência Artificial, construída a partir de três edições consecutivas da pesquisa State of Data Brasil (2023-2024, 2024-2025 e 2025-2026). O objetivo é apoiar decisões de contratação, capacitação e investimento em tecnologia de uma instituição financeira que planeja expandir sua área de Dados e IA.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Para viabilizar essa análise, foi construído um pipeline completo de engenharia de dados em ambiente AWS — da ingestão bruta das três bases até tabelas analíticas prontas para consulta — resolvendo, no caminho, inconsistências reais de schema entre as edições da pesquisa (mudança de codificação de perguntas, reindexação de opções de resposta, erros de digitação nas faixas de resposta).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50"/>
      </w:tblGrid>
      <w:tr>
        <w:tc>
          <w:tcPr>
            <w:tcW w:type="dxa" w:w="4200"/>
            <w:shd w:fill="1E276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tcW w:type="dxa" w:w="5150"/>
            <w:shd w:fill="1E276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Respondentes analisados</w:t>
            </w:r>
          </w:p>
        </w:tc>
        <w:tc>
          <w:tcPr>
            <w:tcW w:type="dxa" w:w="51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14.005 profissionais</w:t>
            </w:r>
          </w:p>
        </w:tc>
      </w:tr>
      <w:tr>
        <w:tc>
          <w:tcPr>
            <w:tcW w:type="dxa" w:w="4200"/>
            <w:shd w:fill="F2F5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Edições da pesquisa</w:t>
            </w:r>
          </w:p>
        </w:tc>
        <w:tc>
          <w:tcPr>
            <w:tcW w:type="dxa" w:w="5150"/>
            <w:shd w:fill="F2F5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3 (2023-2024, 2024-2025, 2025-2026)</w:t>
            </w:r>
          </w:p>
        </w:tc>
      </w:tr>
      <w:tr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Tabelas analíticas construídas</w:t>
            </w:r>
          </w:p>
        </w:tc>
        <w:tc>
          <w:tcPr>
            <w:tcW w:type="dxa" w:w="51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5 (perfil de mercado, remuneração, diversidade, tecnologias, adoção de IA)</w:t>
            </w:r>
          </w:p>
        </w:tc>
      </w:tr>
      <w:tr>
        <w:tc>
          <w:tcPr>
            <w:tcW w:type="dxa" w:w="4200"/>
            <w:shd w:fill="F2F5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Cargo mais comum</w:t>
            </w:r>
          </w:p>
        </w:tc>
        <w:tc>
          <w:tcPr>
            <w:tcW w:type="dxa" w:w="5150"/>
            <w:shd w:fill="F2F5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Analista de Dados (~24%)</w:t>
            </w:r>
          </w:p>
        </w:tc>
      </w:tr>
      <w:tr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Crescimento na priorização de IA</w:t>
            </w:r>
          </w:p>
        </w:tc>
        <w:tc>
          <w:tcPr>
            <w:tcW w:type="dxa" w:w="51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36,2% → 60,6% em 3 anos</w:t>
            </w:r>
          </w:p>
        </w:tc>
      </w:tr>
      <w:tr>
        <w:tc>
          <w:tcPr>
            <w:tcW w:type="dxa" w:w="4200"/>
            <w:shd w:fill="F2F5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Concentração regional</w:t>
            </w:r>
          </w:p>
        </w:tc>
        <w:tc>
          <w:tcPr>
            <w:tcW w:type="dxa" w:w="5150"/>
            <w:shd w:fill="F2F5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Sudeste concentra 62,3% dos profissionais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/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Conclusão antecipada: o mercado brasileiro de dados é maduro em perfis de Analytics, mas ainda tem oferta escassa em Engenharia de ML e Arquitetura de Dados — exatamente os perfis mais bem remunerados. A adoção de Inteligência Artificial deixou de ser uma iniciativa isolada: a priorização por parte de gestores praticamente dobrou em três anos, e o principal obstáculo remanescente é técnico (expertise e maturidade de dados), não falta de patrocínio executivo.</w:t>
      </w:r>
    </w:p>
    <w:p>
      <w:pPr>
        <w:pStyle w:val="Heading1"/>
        <w:spacing w:after="180" w:before="36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2. Contexto, Dados e Metodologia</w:t>
      </w:r>
    </w:p>
    <w:p>
      <w:pPr>
        <w:pStyle w:val="Heading2"/>
        <w:spacing w:after="140" w:before="26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2.1 O Problema de Negócio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A empresa contratante — uma instituição financeira de grande porte — pretende expandir sua área de Dados, Analytics e Inteligência Artificial, mas precisa primeiro compreender o cenário atual do mercado brasileiro para definir estratégias de contratação, capacitação de profissionais e investimento em tecnologia.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A pergunta que orienta esta análise: como está estruturado o mercado de dados hoje, quais perfis são mais valorizados, que tecnologias dominam, e qual o estágio real de adoção de IA nas empresas? Sem essa leitura, decisões de investimento correm o risco de mirar em perfis ou tecnologias que não refletem a demanda real do mercado.</w:t>
      </w:r>
    </w:p>
    <w:p>
      <w:pPr>
        <w:pStyle w:val="Heading2"/>
        <w:spacing w:after="140" w:before="26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2.2 A Base de Dados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A pesquisa State of Data Brasil, realizada pela comunidade Data Hackers em parceria com a Bain, é uma das mais completas fontes de informação sobre o perfil dos profissionais de dados no país. Foram utilizadas as 3 edições mais recentes, disponibilizadas publicamente no Kaggle, totalizando 14.005 respostas.</w:t>
      </w:r>
    </w:p>
    <w:p>
      <w:pPr>
        <w:pStyle w:val="Heading2"/>
        <w:spacing w:after="140" w:before="26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2.3 Arquitetura da Solução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O pipeline foi construído inteiramente em AWS, seguindo a arquitetura de camadas Bronze (dado bruto), Silver (schema harmonizado e tipado) e Gold (tabelas analíticas por tema de negócio), com catalogação via Glue Data Catalog e consulta via Athena.</w:t>
      </w:r>
    </w:p>
    <w:p>
      <w:pPr>
        <w:spacing w:after="200"/>
        <w:jc w:val="center"/>
      </w:pPr>
      <w:r>
        <w:drawing>
          <wp:inline distT="0" distB="0" distL="0" distR="0">
            <wp:extent cx="55245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Diagrama completo da arquitetura da solução.</w:t>
      </w:r>
    </w:p>
    <w:p>
      <w:pPr>
        <w:pStyle w:val="Heading2"/>
        <w:spacing w:after="140" w:before="26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2.4 Decisões Metodológicas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50"/>
      </w:tblGrid>
      <w:tr>
        <w:tc>
          <w:tcPr>
            <w:tcW w:type="dxa" w:w="3600"/>
            <w:shd w:fill="1E276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  <w:tc>
          <w:tcPr>
            <w:tcW w:type="dxa" w:w="5750"/>
            <w:shd w:fill="1E276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Motivo</w:t>
            </w:r>
          </w:p>
        </w:tc>
      </w:tr>
      <w:tr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Três tabelas Bronze separadas (uma por edição)</w:t>
            </w:r>
          </w:p>
        </w:tc>
        <w:tc>
          <w:tcPr>
            <w:tcW w:type="dxa" w:w="57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As edições têm schemas diferentes entre si; uma tabela única particionada exigiria colunas idênticas</w:t>
            </w:r>
          </w:p>
        </w:tc>
      </w:tr>
      <w:tr>
        <w:tc>
          <w:tcPr>
            <w:tcW w:type="dxa" w:w="3600"/>
            <w:shd w:fill="F2F5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Nomes de coluna por descrição, não por código técnico</w:t>
            </w:r>
          </w:p>
        </w:tc>
        <w:tc>
          <w:tcPr>
            <w:tcW w:type="dxa" w:w="5750"/>
            <w:shd w:fill="F2F5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O código da pergunta (ex: P4_d) provou não ser estável entre edições — a mesma posição já representou perguntas diferentes</w:t>
            </w:r>
          </w:p>
        </w:tc>
      </w:tr>
      <w:tr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Colunas 'agrupadas' para cargo e senioridade</w:t>
            </w:r>
          </w:p>
        </w:tc>
        <w:tc>
          <w:tcPr>
            <w:tcW w:type="dxa" w:w="57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Preserva a granularidade original, mas cria uma versão comparável ano a ano quando uma categoria se divide ou se funde entre edições</w:t>
            </w:r>
          </w:p>
        </w:tc>
      </w:tr>
      <w:tr>
        <w:tc>
          <w:tcPr>
            <w:tcW w:type="dxa" w:w="3600"/>
            <w:shd w:fill="F2F5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Salário estimado pelo ponto médio da faixa</w:t>
            </w:r>
          </w:p>
        </w:tc>
        <w:tc>
          <w:tcPr>
            <w:tcW w:type="dxa" w:w="5750"/>
            <w:shd w:fill="F2F5FC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A pesquisa coleta remuneração por faixa, não valor exato — o ponto médio permite comparação de tendência entre grupos</w:t>
            </w:r>
          </w:p>
        </w:tc>
      </w:tr>
      <w:tr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Tabelas de tecnologia e IA em formato longo (unpivot)</w:t>
            </w:r>
          </w:p>
        </w:tc>
        <w:tc>
          <w:tcPr>
            <w:tcW w:type="dxa" w:w="575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20"/>
                <w:szCs w:val="20"/>
              </w:rPr>
              <w:t xml:space="preserve">Evita uma tabela com centenas de colunas binárias; permite consulta flexível por tecnologia</w:t>
            </w:r>
          </w:p>
        </w:tc>
      </w:tr>
    </w:tbl>
    <w:p>
      <w:pPr>
        <w:pStyle w:val="Heading1"/>
        <w:spacing w:after="180" w:before="36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3. Principais Achados</w:t>
      </w:r>
    </w:p>
    <w:p>
      <w:pPr>
        <w:pStyle w:val="Heading2"/>
        <w:spacing w:after="140" w:before="26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3.1 Estrutura do Mercado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Analista de Dados segue como a porta de entrada dominante do mercado (~24% dos profissionais), com Engenharia/Arquitetura de Dados e Ciência de Dados logo atrás (~17% cada), estável nos três anos. A senioridade da base está subindo de forma consistente: quase metade dos profissionais já é Sênior ou Especialista em 2025-2026, contra 37% em 2023-2024. Observa-se também um movimento de retorno ao escritório — o trabalho 100% remoto caiu de 46% para 40% no período, com crescimento do modelo presencial e híbrido com dias fixos.</w:t>
      </w:r>
    </w:p>
    <w:p>
      <w:pPr>
        <w:pStyle w:val="Heading2"/>
        <w:spacing w:after="140" w:before="26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3.2 Perfis Mais Valorizados (Remuneração)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Engenharia de Machine Learning e Arquitetura de Dados lideram a remuneração média no topo da carreira — reflexo direto da escassez desses perfis frente à alta oferta de Analistas. A hierarquia salarial é consistente: quanto maior a senioridade, maior o salário médio, em todos os cargos analisados.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Nota metodológica: os valores de salário são estimados pelo ponto médio de cada faixa de resposta e servem para comparação de tendência entre grupos, não como valor exato de nenhum indivíduo.</w:t>
      </w:r>
    </w:p>
    <w:p>
      <w:pPr>
        <w:pStyle w:val="Heading2"/>
        <w:spacing w:after="140" w:before="26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3.3 Diversidade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O mercado segue predominantemente masculino (77,5%/22,0% em 2025-2026), com a participação feminina em queda consistente ao longo das três edições (24,4% → 22,0%). Quando questionados diretamente, gênero é o fator mais citado de prejuízo profissional percebido (15,4%), à frente de cor/raça/etnia (11,0%) e condição de PCD (1,7%).</w:t>
      </w:r>
    </w:p>
    <w:p>
      <w:pPr>
        <w:pStyle w:val="Heading2"/>
        <w:spacing w:after="140" w:before="26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3.4 Tecnologias em Adoção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SQL e Python seguem como base técnica quase universal (60,3% e 56,3% de adoção). Em nuvem, a AWS lidera com folga (29,0%) sobre Azure e GCP. O ecossistema de bancos de dados é mais diversificado, com PostgreSQL na liderança (22,1%). Em Business Intelligence, o Power BI é amplamente dominante — mais que o dobro do segundo colocado, Looker.</w:t>
      </w:r>
    </w:p>
    <w:p>
      <w:pPr>
        <w:pStyle w:val="Heading2"/>
        <w:spacing w:after="140" w:before="26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3.5 Adoção de Inteligência Artificial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Este é o achado mais expressivo da análise: entre gestores, a priorização de IA generativa saltou de 36,2% em 2023-2024 para 60,6% em 2025-2026 — um crescimento de 24,4 pontos percentuais em três edições. Entre as empresas que ainda não adotam IA, a barreira não é falta de patrocínio executivo (citado por apenas 7,5%), mas sim falta de expertise técnica (38,8%) e de maturidade de dados (36,8%).</w:t>
      </w:r>
    </w:p>
    <w:p>
      <w:pPr>
        <w:pStyle w:val="Heading2"/>
        <w:spacing w:after="140" w:before="260"/>
      </w:pPr>
      <w:r>
        <w:rPr>
          <w:rFonts w:ascii="Cambria" w:cs="Cambria" w:eastAsia="Cambria" w:hAnsi="Cambria"/>
          <w:b/>
          <w:bCs/>
          <w:color w:val="1E2761"/>
          <w:sz w:val="24"/>
          <w:szCs w:val="24"/>
        </w:rPr>
        <w:t xml:space="preserve">3.6 Diferenças Regionais e de Modelo de Trabalho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O Sudeste concentra 62,3% dos profissionais de dados do país e também paga o maior salário médio estimado — uma diferença de até 33% em relação ao Nordeste. No modelo de trabalho, existe um desalinhamento relevante entre o que a empresa oferece e o que o profissional deseja: cerca de 1.700 profissionais hoje em regime presencial preferem um modelo híbrido ou remoto, o que representa um risco real de retenção de talento.</w:t>
      </w:r>
    </w:p>
    <w:p>
      <w:pPr>
        <w:pStyle w:val="Heading1"/>
        <w:spacing w:after="180" w:before="36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4. Conclusão e Recomendações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A análise confirma um mercado de dados brasileiro maduro em perfis de Analytics, mas ainda com oferta escassa nos perfis mais avançados de Engenharia de Dados e Machine Learning — exatamente os mais bem remunerados. Para uma instituição financeira avaliando investimento na área, cinco pontos emergem como prioritários: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Mercado maduro em Analytics, incipiente em capacidade de colocar modelos de IA em produção — vetor de investimento em capacitação técnica especializada.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IA deixou de ser uma iniciativa isolada — o gargalo para adoção é técnico (expertise e maturidade de dados), não falta de patrocínio executivo.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A queda na participação feminina é simultaneamente um sinal de alerta e uma oportunidade de diferenciação competitiva na atração de talento.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Políticas rígidas de trabalho presencial representam risco real de retenção — quase 1.700 profissionais hoje presenciais preferem outro modelo.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rFonts w:ascii="Calibri" w:cs="Calibri" w:eastAsia="Calibri" w:hAnsi="Calibri"/>
          <w:color w:val="1A1A2E"/>
          <w:sz w:val="22"/>
          <w:szCs w:val="22"/>
        </w:rPr>
        <w:t xml:space="preserve">Existe espaço real para expansão de contratação fora do eixo Sudeste, com potencial de redução de custo sem abrir mão de qualidade técnica.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/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Os dados, o código e a documentação completa do pipeline estão disponíveis em: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github.com/gabrielsbn/state-of-data-brasil-pipeline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Vídeo da apresentação executiva: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E2761"/>
          <w:sz w:val="22"/>
          <w:szCs w:val="22"/>
        </w:rPr>
        <w:t xml:space="preserve">youtu.be/SEU-VIDEO-AQUI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Cambria" w:cs="Cambria" w:eastAsia="Cambria" w:hAnsi="Cambria"/>
          <w:b/>
          <w:bCs/>
          <w:color w:val="1E2761"/>
          <w:sz w:val="32"/>
          <w:szCs w:val="32"/>
        </w:rPr>
        <w:t xml:space="preserve">Apresentação Executiva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2E"/>
          <w:sz w:val="22"/>
          <w:szCs w:val="22"/>
        </w:rPr>
        <w:t xml:space="preserve">Os slides a seguir sintetizam os principais insights da análise em linguagem executiva.</w:t>
      </w:r>
    </w:p>
    <w:p>
      <w:pPr>
        <w:spacing w:after="20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467ac6f3b132465de78f9ec875a0321ae5dbbf1.png"/><Relationship Id="rId8" Type="http://schemas.openxmlformats.org/officeDocument/2006/relationships/image" Target="media/6b027fd1cb51eacbb5eb8f2a879980171aa69e57.jpg"/><Relationship Id="rId9" Type="http://schemas.openxmlformats.org/officeDocument/2006/relationships/image" Target="media/e0bfd108e3b9b943b83a745438f86603dd3ba5df.jpg"/><Relationship Id="rId10" Type="http://schemas.openxmlformats.org/officeDocument/2006/relationships/image" Target="media/297635983d0d3758fdc65226a8d2497758ae4fd9.jpg"/><Relationship Id="rId11" Type="http://schemas.openxmlformats.org/officeDocument/2006/relationships/image" Target="media/030daf4fd999e746cfa67faaf4fbb72388116c9c.jpg"/><Relationship Id="rId12" Type="http://schemas.openxmlformats.org/officeDocument/2006/relationships/image" Target="media/c514a3a4cba75e6ba012a72667e468ba5a3c73e8.jpg"/><Relationship Id="rId13" Type="http://schemas.openxmlformats.org/officeDocument/2006/relationships/image" Target="media/18d06f762c0cfe7468d9b5df8ccc74d683c16ad2.jpg"/><Relationship Id="rId14" Type="http://schemas.openxmlformats.org/officeDocument/2006/relationships/image" Target="media/f79a03012e98254436fd8c66f387da6c232f81d5.jpg"/><Relationship Id="rId15" Type="http://schemas.openxmlformats.org/officeDocument/2006/relationships/image" Target="media/14fe043a8ef5d942fdcd1ae7ee92d81d3de9330c.jpg"/><Relationship Id="rId16" Type="http://schemas.openxmlformats.org/officeDocument/2006/relationships/image" Target="media/3fc980519fe9f508a0526d94d51811eb3733c6ed.jpg"/><Relationship Id="rId17" Type="http://schemas.openxmlformats.org/officeDocument/2006/relationships/image" Target="media/c6a88b7c718f21e84f0d0f7516ee268fcad79b97.jpg"/><Relationship Id="rId18" Type="http://schemas.openxmlformats.org/officeDocument/2006/relationships/image" Target="media/1ad09db6a08027956b5b88d007899f4676efe669.jpg"/><Relationship Id="rId19" Type="http://schemas.openxmlformats.org/officeDocument/2006/relationships/image" Target="media/a8f7b715e9ef155a1bf88807b59338c445c27ae7.jpg"/><Relationship Id="rId20" Type="http://schemas.openxmlformats.org/officeDocument/2006/relationships/image" Target="media/8484a7c77fa53050245545cfbf8830436432b9b0.jpg"/><Relationship Id="rId21" Type="http://schemas.openxmlformats.org/officeDocument/2006/relationships/image" Target="media/f93e7134f4885900131ebbe54b5b9055fcfd50e7.jpg"/><Relationship Id="rId22" Type="http://schemas.openxmlformats.org/officeDocument/2006/relationships/image" Target="media/366c016771724153d68323a6a813c3d2aded41c4.jpg"/><Relationship Id="rId23" Type="http://schemas.openxmlformats.org/officeDocument/2006/relationships/image" Target="media/175e988b227f095865397c36ab90907809fd1f71.jpg"/><Relationship Id="rId24" Type="http://schemas.openxmlformats.org/officeDocument/2006/relationships/image" Target="media/d1678e7d18f363f784a2dbf2febd68ff5565eb7f.jpg"/><Relationship Id="rId25" Type="http://schemas.openxmlformats.org/officeDocument/2006/relationships/image" Target="media/4dfd5fae31ab643bbe0edcc82a92eed05d83180f.jpg"/><Relationship Id="rId26" Type="http://schemas.openxmlformats.org/officeDocument/2006/relationships/image" Target="media/4b0b7da4c38da88d6dba5789f419fd338d575be4.jp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2026-09-15T10:47:50.248Z</dcterms:created>
  <dcterms:modified xsi:type="dcterms:W3CDTF">2026-09-15T10:47:50.248Z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