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Entender a regra de negócio do cliente;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Relatório mensal de entrada e saída de estoque;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Falta de reserva de estoque no momento em que um consumidor final faz o pedido;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Contratar um Analista de negócio, que irá fazer o levantamento de requisitos;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Contratação de Desenvolvedores, que irão adequar a necessidade do cliente com as funcionalidades do software; e.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N06: Contratar um Gestor de Projetos, para gerenciar as demandas e delegar as prioridades do projeto.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118110236226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82.6258926936462"/>
        <w:gridCol w:w="4947.313678813406"/>
        <w:gridCol w:w="647.5297564548621"/>
        <w:gridCol w:w="647.5297564548621"/>
        <w:gridCol w:w="647.5297564548621"/>
        <w:gridCol w:w="647.5297564548621"/>
        <w:gridCol w:w="647.5297564548621"/>
        <w:gridCol w:w="647.5297564548621"/>
        <w:tblGridChange w:id="0">
          <w:tblGrid>
            <w:gridCol w:w="782.6258926936462"/>
            <w:gridCol w:w="4947.313678813406"/>
            <w:gridCol w:w="647.5297564548621"/>
            <w:gridCol w:w="647.5297564548621"/>
            <w:gridCol w:w="647.5297564548621"/>
            <w:gridCol w:w="647.5297564548621"/>
            <w:gridCol w:w="647.5297564548621"/>
            <w:gridCol w:w="647.5297564548621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Inventário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descontínuo de material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