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1C4CE" w14:textId="77777777" w:rsidR="00563C5C" w:rsidRDefault="00563C5C">
      <w:pPr>
        <w:spacing w:after="200"/>
      </w:pPr>
    </w:p>
    <w:p w14:paraId="20881271" w14:textId="77777777" w:rsidR="00563C5C" w:rsidRDefault="00563C5C">
      <w:pPr>
        <w:spacing w:after="200"/>
      </w:pPr>
    </w:p>
    <w:p w14:paraId="1F38396B" w14:textId="77777777" w:rsidR="00563C5C" w:rsidRDefault="00563C5C">
      <w:pPr>
        <w:spacing w:after="200"/>
      </w:pPr>
    </w:p>
    <w:p w14:paraId="4AFF7278" w14:textId="77777777" w:rsidR="00563C5C" w:rsidRDefault="00806136">
      <w:pPr>
        <w:spacing w:after="100"/>
      </w:pPr>
      <w:proofErr w:type="gramStart"/>
      <w:r>
        <w:rPr>
          <w:rFonts w:ascii="Calibri" w:eastAsia="Calibri" w:hAnsi="Calibri" w:cs="Calibri"/>
          <w:b/>
          <w:bCs/>
          <w:color w:val="1F1F1F"/>
          <w:sz w:val="72"/>
          <w:szCs w:val="72"/>
        </w:rPr>
        <w:t>Interprete</w:t>
      </w:r>
      <w:proofErr w:type="gramEnd"/>
      <w:r>
        <w:rPr>
          <w:rFonts w:ascii="Calibri" w:eastAsia="Calibri" w:hAnsi="Calibri" w:cs="Calibri"/>
          <w:b/>
          <w:bCs/>
          <w:color w:val="1F1F1F"/>
          <w:sz w:val="72"/>
          <w:szCs w:val="72"/>
        </w:rPr>
        <w:t>.</w:t>
      </w:r>
    </w:p>
    <w:p w14:paraId="44D75310" w14:textId="77777777" w:rsidR="00563C5C" w:rsidRDefault="00806136">
      <w:pPr>
        <w:spacing w:after="400" w:line="300" w:lineRule="auto"/>
      </w:pPr>
      <w:r>
        <w:rPr>
          <w:rFonts w:ascii="Calibri" w:eastAsia="Calibri" w:hAnsi="Calibri" w:cs="Calibri"/>
          <w:color w:val="6B6B6B"/>
          <w:sz w:val="32"/>
          <w:szCs w:val="32"/>
        </w:rPr>
        <w:t>Manual de Marca</w:t>
      </w:r>
    </w:p>
    <w:p w14:paraId="139A751E" w14:textId="77777777" w:rsidR="00563C5C" w:rsidRDefault="00563C5C">
      <w:pPr>
        <w:pBdr>
          <w:bottom w:val="single" w:sz="6" w:space="6" w:color="C8C8C8"/>
        </w:pBdr>
        <w:spacing w:before="60" w:after="200"/>
      </w:pPr>
    </w:p>
    <w:p w14:paraId="278BAD62" w14:textId="77777777" w:rsidR="00563C5C" w:rsidRDefault="00806136">
      <w:pPr>
        <w:spacing w:after="60" w:line="300" w:lineRule="auto"/>
      </w:pPr>
      <w:r>
        <w:rPr>
          <w:rFonts w:ascii="Calibri" w:eastAsia="Calibri" w:hAnsi="Calibri" w:cs="Calibri"/>
          <w:color w:val="6B6B6B"/>
        </w:rPr>
        <w:t>Versão 0.1 — documento de trabalho</w:t>
      </w:r>
    </w:p>
    <w:p w14:paraId="348745E5" w14:textId="77777777" w:rsidR="00563C5C" w:rsidRDefault="00806136">
      <w:pPr>
        <w:spacing w:after="60" w:line="300" w:lineRule="auto"/>
      </w:pPr>
      <w:r>
        <w:rPr>
          <w:rFonts w:ascii="Calibri" w:eastAsia="Calibri" w:hAnsi="Calibri" w:cs="Calibri"/>
          <w:color w:val="6B6B6B"/>
        </w:rPr>
        <w:t>Setembro de 2026</w:t>
      </w:r>
    </w:p>
    <w:p w14:paraId="44912BFF" w14:textId="0053726C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Uso interno</w:t>
      </w:r>
      <w:r w:rsidR="00725632">
        <w:rPr>
          <w:rFonts w:ascii="Calibri" w:eastAsia="Calibri" w:hAnsi="Calibri" w:cs="Calibri"/>
          <w:color w:val="6B6B6B"/>
        </w:rPr>
        <w:t>.</w:t>
      </w:r>
    </w:p>
    <w:p w14:paraId="1051AC42" w14:textId="77777777" w:rsidR="00563C5C" w:rsidRDefault="00806136">
      <w:r>
        <w:br w:type="page"/>
      </w:r>
    </w:p>
    <w:p w14:paraId="284A128E" w14:textId="77777777" w:rsidR="00563C5C" w:rsidRDefault="00806136">
      <w:pPr>
        <w:pStyle w:val="Ttulo1"/>
        <w:spacing w:before="360" w:after="200"/>
      </w:pPr>
      <w:bookmarkStart w:id="0" w:name="_Toc239254828"/>
      <w:r>
        <w:rPr>
          <w:rFonts w:ascii="Calibri" w:eastAsia="Calibri" w:hAnsi="Calibri" w:cs="Calibri"/>
          <w:b/>
          <w:bCs/>
          <w:color w:val="1F1F1F"/>
        </w:rPr>
        <w:lastRenderedPageBreak/>
        <w:t>Sumário</w:t>
      </w:r>
      <w:bookmarkEnd w:id="0"/>
    </w:p>
    <w:sdt>
      <w:sdtPr>
        <w:alias w:val="Sumário"/>
        <w:id w:val="-2126369821"/>
      </w:sdtPr>
      <w:sdtEndPr/>
      <w:sdtContent>
        <w:p w14:paraId="3CB69C5D" w14:textId="77777777" w:rsidR="00EA47F5" w:rsidRDefault="00806136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254828" w:history="1">
            <w:r w:rsidR="00EA47F5"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Sumário</w:t>
            </w:r>
            <w:r w:rsidR="00EA47F5">
              <w:rPr>
                <w:noProof/>
              </w:rPr>
              <w:tab/>
            </w:r>
            <w:r w:rsidR="00EA47F5">
              <w:rPr>
                <w:noProof/>
              </w:rPr>
              <w:fldChar w:fldCharType="begin"/>
            </w:r>
            <w:r w:rsidR="00EA47F5">
              <w:rPr>
                <w:noProof/>
              </w:rPr>
              <w:instrText xml:space="preserve"> PAGEREF _Toc239254828 \h </w:instrText>
            </w:r>
            <w:r w:rsidR="00EA47F5">
              <w:rPr>
                <w:noProof/>
              </w:rPr>
            </w:r>
            <w:r w:rsidR="00EA47F5">
              <w:rPr>
                <w:noProof/>
              </w:rPr>
              <w:fldChar w:fldCharType="separate"/>
            </w:r>
            <w:r w:rsidR="00EA47F5">
              <w:rPr>
                <w:noProof/>
              </w:rPr>
              <w:t>2</w:t>
            </w:r>
            <w:r w:rsidR="00EA47F5">
              <w:rPr>
                <w:noProof/>
              </w:rPr>
              <w:fldChar w:fldCharType="end"/>
            </w:r>
          </w:hyperlink>
        </w:p>
        <w:p w14:paraId="44998044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29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Sobre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DA7A6F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0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1.1 Para que serve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97C3FA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1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1.2 Status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460484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2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1.3 Como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282CB9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3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1.4 Governança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4876D8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34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Fundamentos da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041ACD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5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2.1 O que é o Interprete.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851E9C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6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2.2 Nome e 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F43557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7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2.3 Missão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AF2F50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8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2.4 Visão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B6C856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39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2.5 Valores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304E87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40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Posicionamento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416F3A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41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3.1 Declaração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54EA46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42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3.2 O que somos e o que não somos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AC4FFA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43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3.3 Diferenciais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850DC5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44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 Público-alvo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6E4A9C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45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4.1 Público primário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3108E0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46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4.2 Público secundário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2E8125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47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4.3 Regra de adaptação de linguagem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1D4760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48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5. Pilares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480D08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49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6. Territórios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28DFF8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50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 Voz e tom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2514CB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1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7.1 Arquétipo de voz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9B9893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2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7.2 Nível de informalidade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38F74D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3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7.3 Princípios de escrita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740BC7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4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7.4 Faixa de tom por canal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F4C416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5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7.5 Léxico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133DF5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6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7.6 Proibições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3CC229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57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 Identidade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F176CA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8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8.1 Logomarca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66D955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59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8.2 Paleta de 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AC6354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0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8.3 Tipografia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6B5200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1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8.4 Elementos de apoio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35A496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2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8.5 Usos proibidos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F7FF7C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63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 Regras de composição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110E97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4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9.1 Princípios comuns a todos os formatos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6988D3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5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9.2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B2FBEA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6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9.3 Textos de blog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77241E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7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9.4 Newsletter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3B139CA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8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9.5 Guia de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02B846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69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9.6 Relatório de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64309E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70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9.7 Slides de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A9F969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71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10. Checklist de aprovação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9D20D15" w14:textId="77777777" w:rsidR="00EA47F5" w:rsidRDefault="00EA47F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9254872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11. 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4CB399" w14:textId="77777777" w:rsidR="00EA47F5" w:rsidRDefault="00EA47F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9254873" w:history="1">
            <w:r w:rsidRPr="00AD1D6D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Pendências desta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92CDAB" w14:textId="6E53A6D6" w:rsidR="00563C5C" w:rsidRDefault="00806136">
          <w:r>
            <w:fldChar w:fldCharType="end"/>
          </w:r>
        </w:p>
      </w:sdtContent>
    </w:sdt>
    <w:p w14:paraId="49E91833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Para atualizar: clique com o botão direito sobre o sumário e escolha "Atualizar campo".</w:t>
      </w:r>
    </w:p>
    <w:p w14:paraId="0E5238C4" w14:textId="77777777" w:rsidR="00563C5C" w:rsidRDefault="00806136">
      <w:r>
        <w:br w:type="page"/>
      </w:r>
    </w:p>
    <w:p w14:paraId="035881B0" w14:textId="77777777" w:rsidR="00563C5C" w:rsidRDefault="00806136">
      <w:pPr>
        <w:pStyle w:val="Ttulo1"/>
        <w:spacing w:before="360" w:after="200"/>
      </w:pPr>
      <w:bookmarkStart w:id="1" w:name="_Toc239254829"/>
      <w:r>
        <w:rPr>
          <w:rFonts w:ascii="Calibri" w:eastAsia="Calibri" w:hAnsi="Calibri" w:cs="Calibri"/>
          <w:b/>
          <w:bCs/>
          <w:color w:val="1F1F1F"/>
        </w:rPr>
        <w:lastRenderedPageBreak/>
        <w:t>1. Sobre este manual</w:t>
      </w:r>
      <w:bookmarkEnd w:id="1"/>
    </w:p>
    <w:p w14:paraId="7573DF2D" w14:textId="77777777" w:rsidR="00563C5C" w:rsidRDefault="00806136">
      <w:pPr>
        <w:pStyle w:val="Ttulo2"/>
        <w:spacing w:before="280" w:after="140"/>
      </w:pPr>
      <w:bookmarkStart w:id="2" w:name="_Toc239254830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1.1 Para que serve</w:t>
      </w:r>
      <w:bookmarkEnd w:id="2"/>
    </w:p>
    <w:p w14:paraId="7945C1EC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Este manual define quem é a marca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., como ela fala e como seus materiais são construídos. Ele existe para que qualquer pessoa que produza algo em nome da marca — os dois fundadores, um convidado, um designer, um editor de vídeo — chegue ao mesmo resultado sem depender de conversa prévia.</w:t>
      </w:r>
    </w:p>
    <w:p w14:paraId="042D6F40" w14:textId="085C38E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Manual de marca </w:t>
      </w:r>
      <w:r w:rsidR="00C01185">
        <w:rPr>
          <w:rFonts w:ascii="Calibri" w:eastAsia="Calibri" w:hAnsi="Calibri" w:cs="Calibri"/>
          <w:color w:val="1F1F1F"/>
          <w:sz w:val="21"/>
          <w:szCs w:val="21"/>
        </w:rPr>
        <w:t xml:space="preserve">é </w:t>
      </w:r>
      <w:r>
        <w:rPr>
          <w:rFonts w:ascii="Calibri" w:eastAsia="Calibri" w:hAnsi="Calibri" w:cs="Calibri"/>
          <w:color w:val="1F1F1F"/>
          <w:sz w:val="21"/>
          <w:szCs w:val="21"/>
        </w:rPr>
        <w:t>um contrato de consistência. Toda regra aqui foi escrita para ser conferível: ou o material cumpre</w:t>
      </w:r>
      <w:r w:rsidR="00C01185">
        <w:rPr>
          <w:rFonts w:ascii="Calibri" w:eastAsia="Calibri" w:hAnsi="Calibri" w:cs="Calibri"/>
          <w:color w:val="1F1F1F"/>
          <w:sz w:val="21"/>
          <w:szCs w:val="21"/>
        </w:rPr>
        <w:t>,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ou não cumpre.</w:t>
      </w:r>
    </w:p>
    <w:p w14:paraId="5E11AF1C" w14:textId="77777777" w:rsidR="00563C5C" w:rsidRDefault="00806136">
      <w:pPr>
        <w:pStyle w:val="Ttulo2"/>
        <w:spacing w:before="280" w:after="140"/>
      </w:pPr>
      <w:bookmarkStart w:id="3" w:name="_Toc239254831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1.2 Status do documento</w:t>
      </w:r>
      <w:bookmarkEnd w:id="3"/>
    </w:p>
    <w:p w14:paraId="67779C3D" w14:textId="3619ABDA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Esta é a versão </w:t>
      </w:r>
      <w:r>
        <w:rPr>
          <w:rFonts w:ascii="Calibri" w:eastAsia="Calibri" w:hAnsi="Calibri" w:cs="Calibri"/>
          <w:color w:val="1F1F1F"/>
          <w:sz w:val="21"/>
          <w:szCs w:val="21"/>
        </w:rPr>
        <w:t>1. As seções de fundamentos, público, pilares, territórios, voz e composição estão fechadas e valem a partir de já. A seção 8, Identidade Visual, está estruturada</w:t>
      </w:r>
      <w:r w:rsidR="00C01185">
        <w:rPr>
          <w:rFonts w:ascii="Calibri" w:eastAsia="Calibri" w:hAnsi="Calibri" w:cs="Calibri"/>
          <w:color w:val="1F1F1F"/>
          <w:sz w:val="21"/>
          <w:szCs w:val="21"/>
        </w:rPr>
        <w:t>,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mas pendente: aguarda a definição do design system pelos fundadores. Nenhum material impresso ou de alta visibilidade deve ser produzido antes de essa seção ser preenchida.</w:t>
      </w:r>
    </w:p>
    <w:p w14:paraId="72B1AC8B" w14:textId="77777777" w:rsidR="00563C5C" w:rsidRDefault="00806136">
      <w:pPr>
        <w:pStyle w:val="Ttulo2"/>
        <w:spacing w:before="280" w:after="140"/>
      </w:pPr>
      <w:bookmarkStart w:id="4" w:name="_Toc239254832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1.3 Como usar</w:t>
      </w:r>
      <w:bookmarkEnd w:id="4"/>
    </w:p>
    <w:p w14:paraId="25354F47" w14:textId="11E29CFF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Antes de criar qualquer peça, leia a seção 7 (voz e tom) e a subseção da seção 9</w:t>
      </w:r>
      <w:r w:rsidR="00C01185">
        <w:rPr>
          <w:rFonts w:ascii="Calibri" w:eastAsia="Calibri" w:hAnsi="Calibri" w:cs="Calibri"/>
          <w:color w:val="1F1F1F"/>
          <w:sz w:val="21"/>
          <w:szCs w:val="21"/>
        </w:rPr>
        <w:t>,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correspondente ao formato.</w:t>
      </w:r>
    </w:p>
    <w:p w14:paraId="092F1729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Em caso de dúvida entre duas opções, escolha a que estiver mais alinhada aos valores da seção 2.4, não a que parecer mais atraente.</w:t>
      </w:r>
    </w:p>
    <w:p w14:paraId="6E98347E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checklist da seção 10 é obrigatório antes de qualquer publicação.</w:t>
      </w:r>
    </w:p>
    <w:p w14:paraId="6022B33E" w14:textId="77777777" w:rsidR="00563C5C" w:rsidRDefault="00806136">
      <w:pPr>
        <w:pStyle w:val="Ttulo2"/>
        <w:spacing w:before="280" w:after="140"/>
      </w:pPr>
      <w:bookmarkStart w:id="5" w:name="_Toc239254833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1.4 Governança</w:t>
      </w:r>
      <w:bookmarkEnd w:id="5"/>
    </w:p>
    <w:p w14:paraId="2E4339E6" w14:textId="353672C3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A marca tem uma única voz, ainda que tenha dois fundadores. Nenhum material é assinado individualmente: a autoria pública é sempre do </w:t>
      </w:r>
      <w:r w:rsidR="005D2612">
        <w:rPr>
          <w:rFonts w:ascii="Calibri" w:eastAsia="Calibri" w:hAnsi="Calibri" w:cs="Calibri"/>
          <w:color w:val="1F1F1F"/>
          <w:sz w:val="21"/>
          <w:szCs w:val="21"/>
        </w:rPr>
        <w:t>“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.</w:t>
      </w:r>
      <w:r w:rsidR="005D2612">
        <w:rPr>
          <w:rFonts w:ascii="Calibri" w:eastAsia="Calibri" w:hAnsi="Calibri" w:cs="Calibri"/>
          <w:color w:val="1F1F1F"/>
          <w:sz w:val="21"/>
          <w:szCs w:val="21"/>
        </w:rPr>
        <w:t>”</w:t>
      </w:r>
      <w:r w:rsidR="0095301A">
        <w:rPr>
          <w:rFonts w:ascii="Calibri" w:eastAsia="Calibri" w:hAnsi="Calibri" w:cs="Calibri"/>
          <w:color w:val="1F1F1F"/>
          <w:sz w:val="21"/>
          <w:szCs w:val="21"/>
        </w:rPr>
        <w:t>.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Os fundadores aparecem como quem conduz a formação</w:t>
      </w:r>
      <w:r w:rsidR="005D2612">
        <w:rPr>
          <w:rFonts w:ascii="Calibri" w:eastAsia="Calibri" w:hAnsi="Calibri" w:cs="Calibri"/>
          <w:color w:val="1F1F1F"/>
          <w:sz w:val="21"/>
          <w:szCs w:val="21"/>
        </w:rPr>
        <w:t xml:space="preserve"> e </w:t>
      </w:r>
      <w:r>
        <w:rPr>
          <w:rFonts w:ascii="Calibri" w:eastAsia="Calibri" w:hAnsi="Calibri" w:cs="Calibri"/>
          <w:color w:val="1F1F1F"/>
          <w:sz w:val="21"/>
          <w:szCs w:val="21"/>
        </w:rPr>
        <w:t>não</w:t>
      </w:r>
      <w:r w:rsidR="005D2612">
        <w:rPr>
          <w:rFonts w:ascii="Calibri" w:eastAsia="Calibri" w:hAnsi="Calibri" w:cs="Calibri"/>
          <w:color w:val="1F1F1F"/>
          <w:sz w:val="21"/>
          <w:szCs w:val="21"/>
        </w:rPr>
        <w:t xml:space="preserve"> principalmente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como quem assina o conteúdo.</w:t>
      </w:r>
    </w:p>
    <w:p w14:paraId="50D983C1" w14:textId="5B52D1AE" w:rsidR="00563C5C" w:rsidRDefault="00806136" w:rsidP="004D3C48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Consequência prática: todo material publicado passa por revisão cruzada. Quem escreve não é quem aprova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. Voz única </w:t>
      </w:r>
      <w:r w:rsidR="001761A1">
        <w:rPr>
          <w:rFonts w:ascii="Calibri" w:eastAsia="Calibri" w:hAnsi="Calibri" w:cs="Calibri"/>
          <w:color w:val="1F1F1F"/>
          <w:sz w:val="21"/>
          <w:szCs w:val="21"/>
        </w:rPr>
        <w:t>precisa de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processo de revisão</w:t>
      </w:r>
      <w:r w:rsidR="001761A1">
        <w:rPr>
          <w:rFonts w:ascii="Calibri" w:eastAsia="Calibri" w:hAnsi="Calibri" w:cs="Calibri"/>
          <w:color w:val="1F1F1F"/>
          <w:sz w:val="21"/>
          <w:szCs w:val="21"/>
        </w:rPr>
        <w:t>, pois sem isso,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não </w:t>
      </w:r>
      <w:r w:rsidR="001761A1">
        <w:rPr>
          <w:rFonts w:ascii="Calibri" w:eastAsia="Calibri" w:hAnsi="Calibri" w:cs="Calibri"/>
          <w:color w:val="1F1F1F"/>
          <w:sz w:val="21"/>
          <w:szCs w:val="21"/>
        </w:rPr>
        <w:t>há consistência de marca</w:t>
      </w:r>
      <w:r>
        <w:rPr>
          <w:rFonts w:ascii="Calibri" w:eastAsia="Calibri" w:hAnsi="Calibri" w:cs="Calibri"/>
          <w:color w:val="1F1F1F"/>
          <w:sz w:val="21"/>
          <w:szCs w:val="21"/>
        </w:rPr>
        <w:t>.</w:t>
      </w:r>
      <w:r>
        <w:br w:type="page"/>
      </w:r>
    </w:p>
    <w:p w14:paraId="43A05635" w14:textId="77777777" w:rsidR="00563C5C" w:rsidRDefault="00806136">
      <w:pPr>
        <w:pStyle w:val="Ttulo1"/>
        <w:spacing w:before="360" w:after="200"/>
      </w:pPr>
      <w:bookmarkStart w:id="6" w:name="_Toc239254834"/>
      <w:r>
        <w:rPr>
          <w:rFonts w:ascii="Calibri" w:eastAsia="Calibri" w:hAnsi="Calibri" w:cs="Calibri"/>
          <w:b/>
          <w:bCs/>
          <w:color w:val="1F1F1F"/>
        </w:rPr>
        <w:lastRenderedPageBreak/>
        <w:t>2. Fundamentos da marca</w:t>
      </w:r>
      <w:bookmarkEnd w:id="6"/>
    </w:p>
    <w:p w14:paraId="791819F3" w14:textId="77777777" w:rsidR="00563C5C" w:rsidRDefault="00806136">
      <w:pPr>
        <w:pStyle w:val="Ttulo2"/>
        <w:spacing w:before="280" w:after="140"/>
      </w:pPr>
      <w:bookmarkStart w:id="7" w:name="_Toc239254835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 xml:space="preserve">2.1 O que é o </w:t>
      </w:r>
      <w:proofErr w:type="gramStart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Interprete</w:t>
      </w:r>
      <w:proofErr w:type="gramEnd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.</w:t>
      </w:r>
      <w:bookmarkEnd w:id="7"/>
    </w:p>
    <w:p w14:paraId="2CA8724B" w14:textId="0806F189" w:rsidR="00563C5C" w:rsidRDefault="00806136">
      <w:pPr>
        <w:spacing w:after="140" w:line="300" w:lineRule="auto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O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. é uma escola de prática baseada em evidências para profissionais de saúde. Seu produto central são mentorias em grupo de seis meses que ensinam a buscar, ler, interpretar e aplicar evidência científica na decisão clínica — com aulas síncronas ao vivo e material gravado</w:t>
      </w:r>
      <w:r w:rsidR="00465BDB">
        <w:rPr>
          <w:rFonts w:ascii="Calibri" w:eastAsia="Calibri" w:hAnsi="Calibri" w:cs="Calibri"/>
          <w:color w:val="1F1F1F"/>
          <w:sz w:val="21"/>
          <w:szCs w:val="21"/>
        </w:rPr>
        <w:t xml:space="preserve"> ou confeccionado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de apoio.</w:t>
      </w:r>
    </w:p>
    <w:p w14:paraId="1FCF7BA2" w14:textId="213AA698" w:rsidR="00465BDB" w:rsidRPr="001B18F4" w:rsidRDefault="00F97BC7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Seus produtos secundários consistem em Grupos de Estudo e </w:t>
      </w:r>
      <w:r w:rsidR="00212BE7">
        <w:rPr>
          <w:rFonts w:ascii="Calibri" w:eastAsia="Calibri" w:hAnsi="Calibri" w:cs="Calibri"/>
          <w:color w:val="1F1F1F"/>
          <w:sz w:val="21"/>
          <w:szCs w:val="21"/>
        </w:rPr>
        <w:t xml:space="preserve">Newsletter gratuitos para proporcionar aos seus </w:t>
      </w:r>
      <w:r w:rsidR="001B18F4">
        <w:rPr>
          <w:rFonts w:ascii="Calibri" w:eastAsia="Calibri" w:hAnsi="Calibri" w:cs="Calibri"/>
          <w:color w:val="1F1F1F"/>
          <w:sz w:val="21"/>
          <w:szCs w:val="21"/>
        </w:rPr>
        <w:t xml:space="preserve">clientes e </w:t>
      </w:r>
      <w:r w:rsidR="001B18F4" w:rsidRPr="001B18F4">
        <w:rPr>
          <w:rFonts w:ascii="Calibri" w:eastAsia="Calibri" w:hAnsi="Calibri" w:cs="Calibri"/>
          <w:i/>
          <w:iCs/>
          <w:color w:val="1F1F1F"/>
          <w:sz w:val="21"/>
          <w:szCs w:val="21"/>
        </w:rPr>
        <w:t>prospects</w:t>
      </w:r>
      <w:r w:rsidR="001B18F4">
        <w:rPr>
          <w:rFonts w:ascii="Calibri" w:eastAsia="Calibri" w:hAnsi="Calibri" w:cs="Calibri"/>
          <w:i/>
          <w:iCs/>
          <w:color w:val="1F1F1F"/>
          <w:sz w:val="21"/>
          <w:szCs w:val="21"/>
        </w:rPr>
        <w:t xml:space="preserve"> </w:t>
      </w:r>
      <w:r w:rsidR="00DD0233">
        <w:rPr>
          <w:rFonts w:ascii="Calibri" w:eastAsia="Calibri" w:hAnsi="Calibri" w:cs="Calibri"/>
          <w:color w:val="1F1F1F"/>
          <w:sz w:val="21"/>
          <w:szCs w:val="21"/>
        </w:rPr>
        <w:t>uma comunicação direta com a marca, a partir de conteúdos informativos, institucionais e/ou comerciais.</w:t>
      </w:r>
    </w:p>
    <w:p w14:paraId="55357A31" w14:textId="2CB78859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 marca nasceu de uma constatação: o ensino de prática baseada em evidências na graduação raramente é bem empregado</w:t>
      </w:r>
      <w:r w:rsidR="00DD0233">
        <w:rPr>
          <w:rFonts w:ascii="Calibri" w:eastAsia="Calibri" w:hAnsi="Calibri" w:cs="Calibri"/>
          <w:color w:val="1F1F1F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F1F1F"/>
          <w:sz w:val="21"/>
          <w:szCs w:val="21"/>
        </w:rPr>
        <w:t>e o profissional formado acaba refém da opinião alheia, do congresso e do colega que fala mais alto. O custo disso não recai sobre ele</w:t>
      </w:r>
      <w:r w:rsidR="00DD0233">
        <w:rPr>
          <w:rFonts w:ascii="Calibri" w:eastAsia="Calibri" w:hAnsi="Calibri" w:cs="Calibri"/>
          <w:color w:val="1F1F1F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F1F1F"/>
          <w:sz w:val="21"/>
          <w:szCs w:val="21"/>
        </w:rPr>
        <w:t>e sim sobre o paciente</w:t>
      </w:r>
      <w:r w:rsidR="00DD0233">
        <w:rPr>
          <w:rFonts w:ascii="Calibri" w:eastAsia="Calibri" w:hAnsi="Calibri" w:cs="Calibri"/>
          <w:color w:val="1F1F1F"/>
          <w:sz w:val="21"/>
          <w:szCs w:val="21"/>
        </w:rPr>
        <w:t>: e</w:t>
      </w:r>
      <w:r>
        <w:rPr>
          <w:rFonts w:ascii="Calibri" w:eastAsia="Calibri" w:hAnsi="Calibri" w:cs="Calibri"/>
          <w:color w:val="1F1F1F"/>
          <w:sz w:val="21"/>
          <w:szCs w:val="21"/>
        </w:rPr>
        <w:t>m tempo, oportunidade e dinheiro gastos a mais do que o necessário.</w:t>
      </w:r>
    </w:p>
    <w:p w14:paraId="7F9D868F" w14:textId="77777777" w:rsidR="00563C5C" w:rsidRDefault="00806136">
      <w:pPr>
        <w:pStyle w:val="Ttulo2"/>
        <w:spacing w:before="280" w:after="140"/>
      </w:pPr>
      <w:bookmarkStart w:id="8" w:name="_Toc239254836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2.2 Nome e grafia</w:t>
      </w:r>
      <w:bookmarkEnd w:id="8"/>
    </w:p>
    <w:p w14:paraId="59401734" w14:textId="60E2332D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A marca se escreve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. —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com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inicial maiúscula e ponto final</w:t>
      </w:r>
      <w:r w:rsidR="00DD0233">
        <w:rPr>
          <w:rFonts w:ascii="Calibri" w:eastAsia="Calibri" w:hAnsi="Calibri" w:cs="Calibri"/>
          <w:color w:val="1F1F1F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F1F1F"/>
          <w:sz w:val="21"/>
          <w:szCs w:val="21"/>
        </w:rPr>
        <w:t>sempre, inclusive no meio de frases.</w:t>
      </w:r>
    </w:p>
    <w:p w14:paraId="0AC71E74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ponto é parte do nome, não pontuação. Não é substituído por vírgula nem suprimido em títulos.</w:t>
      </w:r>
    </w:p>
    <w:p w14:paraId="13E80596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Não se flexiona: nunca "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Interpretes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", "do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" sem o ponto, ou "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Academy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".</w:t>
      </w:r>
    </w:p>
    <w:p w14:paraId="472AFCDF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Em fim de frase, não se duplica o ponto. Escreve-se "...uma formação do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." e não "...do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Interprete..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"</w:t>
      </w:r>
    </w:p>
    <w:p w14:paraId="5733C563" w14:textId="77777777" w:rsidR="00563C5C" w:rsidRDefault="00806136">
      <w:pPr>
        <w:pStyle w:val="Ttulo2"/>
        <w:spacing w:before="280" w:after="140"/>
      </w:pPr>
      <w:bookmarkStart w:id="9" w:name="_Toc239254837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2.3 Missão</w:t>
      </w:r>
      <w:bookmarkEnd w:id="9"/>
    </w:p>
    <w:p w14:paraId="782840A7" w14:textId="77777777" w:rsidR="00563C5C" w:rsidRDefault="00806136">
      <w:pPr>
        <w:pBdr>
          <w:left w:val="single" w:sz="12" w:space="12" w:color="1F1F1F"/>
        </w:pBdr>
        <w:spacing w:before="120" w:after="180" w:line="320" w:lineRule="auto"/>
        <w:ind w:left="340"/>
      </w:pPr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>Formar profissionais de saúde capazes de buscar, ler e interpretar evidência científica com autonomia, para que a conduta de consultório nasça do raciocínio próprio e não da opinião de quem fala mais alto.</w:t>
      </w:r>
    </w:p>
    <w:p w14:paraId="3B4530C4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Versão curta, para assinatura,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bio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e capa de material:</w:t>
      </w:r>
    </w:p>
    <w:p w14:paraId="686CB0D5" w14:textId="29A338AF" w:rsidR="00563C5C" w:rsidRDefault="003C3860">
      <w:pPr>
        <w:pBdr>
          <w:left w:val="single" w:sz="12" w:space="12" w:color="1F1F1F"/>
        </w:pBdr>
        <w:spacing w:before="120" w:after="180" w:line="320" w:lineRule="auto"/>
        <w:ind w:left="340"/>
      </w:pPr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>Não aceite a evidência</w:t>
      </w:r>
      <w:r w:rsidR="00806136">
        <w:rPr>
          <w:rFonts w:ascii="Calibri" w:eastAsia="Calibri" w:hAnsi="Calibri" w:cs="Calibri"/>
          <w:i/>
          <w:iCs/>
          <w:color w:val="1F1F1F"/>
          <w:sz w:val="23"/>
          <w:szCs w:val="23"/>
        </w:rPr>
        <w:t>.</w:t>
      </w:r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>Interprete</w:t>
      </w:r>
      <w:proofErr w:type="gramEnd"/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>.</w:t>
      </w:r>
    </w:p>
    <w:p w14:paraId="2CC8CF38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A versão longa é institucional e vai em documentos, propostas e apresentações formais. A versão curta é a que fala com o aluno e circula nos canais públicos. As duas convivem; não se misturam na mesma peça.</w:t>
      </w:r>
    </w:p>
    <w:p w14:paraId="2EC26A24" w14:textId="77777777" w:rsidR="00563C5C" w:rsidRDefault="00806136">
      <w:pPr>
        <w:pStyle w:val="Ttulo2"/>
        <w:spacing w:before="280" w:after="140"/>
      </w:pPr>
      <w:bookmarkStart w:id="10" w:name="_Toc239254838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2.4 Visão</w:t>
      </w:r>
      <w:bookmarkEnd w:id="10"/>
    </w:p>
    <w:p w14:paraId="736EB5E6" w14:textId="77777777" w:rsidR="00563C5C" w:rsidRDefault="00806136">
      <w:pPr>
        <w:pBdr>
          <w:left w:val="single" w:sz="12" w:space="12" w:color="1F1F1F"/>
        </w:pBdr>
        <w:spacing w:before="120" w:after="180" w:line="320" w:lineRule="auto"/>
        <w:ind w:left="340"/>
      </w:pPr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>Ser a escola de referência em prática baseada em evidências para profissionais de saúde no Brasil, formando uma geração clinicamente ativa e cientificamente letrada.</w:t>
      </w:r>
    </w:p>
    <w:p w14:paraId="79453C0D" w14:textId="77777777" w:rsidR="00563C5C" w:rsidRDefault="00806136">
      <w:pPr>
        <w:pStyle w:val="Ttulo2"/>
        <w:spacing w:before="280" w:after="140"/>
      </w:pPr>
      <w:bookmarkStart w:id="11" w:name="_Toc239254839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2.5 Valores</w:t>
      </w:r>
      <w:bookmarkEnd w:id="11"/>
    </w:p>
    <w:p w14:paraId="701DB688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Cada valor tem um princípio e um par de comportamentos. Valor sem regra de comportamento é decoração: o que define a marca é o que ela se recusa a fazer.</w:t>
      </w:r>
    </w:p>
    <w:p w14:paraId="3EF06A54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lastRenderedPageBreak/>
        <w:t>Valor 1 — Racional antes do veredito</w:t>
      </w:r>
    </w:p>
    <w:p w14:paraId="282BFA26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que importa não é a conclusão do artigo, é o caminho que leva até ela.</w:t>
      </w:r>
    </w:p>
    <w:p w14:paraId="3A285148" w14:textId="2232367C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Fazemos: </w:t>
      </w:r>
      <w:r>
        <w:rPr>
          <w:rFonts w:ascii="Calibri" w:eastAsia="Calibri" w:hAnsi="Calibri" w:cs="Calibri"/>
          <w:color w:val="1F1F1F"/>
          <w:sz w:val="21"/>
          <w:szCs w:val="21"/>
        </w:rPr>
        <w:t>mostrar como a leitura foi construída, incluindo as dúvidas e os pontos em que a evidência não permite concluir</w:t>
      </w:r>
      <w:r w:rsidR="00F93FBB">
        <w:rPr>
          <w:rFonts w:ascii="Calibri" w:eastAsia="Calibri" w:hAnsi="Calibri" w:cs="Calibri"/>
          <w:color w:val="1F1F1F"/>
          <w:sz w:val="21"/>
          <w:szCs w:val="21"/>
        </w:rPr>
        <w:t xml:space="preserve"> ou aplicar</w:t>
      </w:r>
      <w:r>
        <w:rPr>
          <w:rFonts w:ascii="Calibri" w:eastAsia="Calibri" w:hAnsi="Calibri" w:cs="Calibri"/>
          <w:color w:val="1F1F1F"/>
          <w:sz w:val="21"/>
          <w:szCs w:val="21"/>
        </w:rPr>
        <w:t>.</w:t>
      </w:r>
    </w:p>
    <w:p w14:paraId="37C309F4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Não fazemos: </w:t>
      </w:r>
      <w:r>
        <w:rPr>
          <w:rFonts w:ascii="Calibri" w:eastAsia="Calibri" w:hAnsi="Calibri" w:cs="Calibri"/>
          <w:color w:val="1F1F1F"/>
          <w:sz w:val="21"/>
          <w:szCs w:val="21"/>
        </w:rPr>
        <w:t>aula expositiva de artigo sem abrir o raciocínio de interpretação.</w:t>
      </w:r>
    </w:p>
    <w:p w14:paraId="5061A477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Valor 2 — Nenhuma receita pronta</w:t>
      </w:r>
    </w:p>
    <w:p w14:paraId="4CEF465E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Não entregamos protocolo de consultório. Entregamos a capacidade de construir o seu.</w:t>
      </w:r>
    </w:p>
    <w:p w14:paraId="126B5586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Fazemos: </w:t>
      </w:r>
      <w:r>
        <w:rPr>
          <w:rFonts w:ascii="Calibri" w:eastAsia="Calibri" w:hAnsi="Calibri" w:cs="Calibri"/>
          <w:color w:val="1F1F1F"/>
          <w:sz w:val="21"/>
          <w:szCs w:val="21"/>
        </w:rPr>
        <w:t>ensinar o método de decisão e deixar o aluno chegar à conduta.</w:t>
      </w:r>
    </w:p>
    <w:p w14:paraId="3ABCB332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Não fazemos: </w:t>
      </w:r>
      <w:r>
        <w:rPr>
          <w:rFonts w:ascii="Calibri" w:eastAsia="Calibri" w:hAnsi="Calibri" w:cs="Calibri"/>
          <w:color w:val="1F1F1F"/>
          <w:sz w:val="21"/>
          <w:szCs w:val="21"/>
        </w:rPr>
        <w:t>material "copia e cola" que diz o que prescrever.</w:t>
      </w:r>
    </w:p>
    <w:p w14:paraId="743363DF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Valor 3 — Crença é revisável</w:t>
      </w:r>
    </w:p>
    <w:p w14:paraId="728B52A0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Toda conclusão é provisória e se atualiza diante de evidência melhor. Raciocínio bayesiano aplicado à própria opinião.</w:t>
      </w:r>
    </w:p>
    <w:p w14:paraId="65EDC4A0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Fazemos: </w:t>
      </w:r>
      <w:r>
        <w:rPr>
          <w:rFonts w:ascii="Calibri" w:eastAsia="Calibri" w:hAnsi="Calibri" w:cs="Calibri"/>
          <w:color w:val="1F1F1F"/>
          <w:sz w:val="21"/>
          <w:szCs w:val="21"/>
        </w:rPr>
        <w:t>mudar de posição publicamente quando a evidência pede, inclusive quem ensina.</w:t>
      </w:r>
    </w:p>
    <w:p w14:paraId="6D9D1BBE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Não fazemos: </w:t>
      </w:r>
      <w:r>
        <w:rPr>
          <w:rFonts w:ascii="Calibri" w:eastAsia="Calibri" w:hAnsi="Calibri" w:cs="Calibri"/>
          <w:color w:val="1F1F1F"/>
          <w:sz w:val="21"/>
          <w:szCs w:val="21"/>
        </w:rPr>
        <w:t>defender uma posição por autoria ou por já a termos ensinado.</w:t>
      </w:r>
    </w:p>
    <w:p w14:paraId="3F3E3E43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Valor 4 — O aluno chega preparado</w:t>
      </w:r>
    </w:p>
    <w:p w14:paraId="51E75BF1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Aprendizado depende de leitura prévia, dúvida trazida e participação. A responsabilidade é dividida.</w:t>
      </w:r>
    </w:p>
    <w:p w14:paraId="33BF10F5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Fazemos: </w:t>
      </w:r>
      <w:r>
        <w:rPr>
          <w:rFonts w:ascii="Calibri" w:eastAsia="Calibri" w:hAnsi="Calibri" w:cs="Calibri"/>
          <w:color w:val="1F1F1F"/>
          <w:sz w:val="21"/>
          <w:szCs w:val="21"/>
        </w:rPr>
        <w:t>enviar material antes, cobrar a leitura e abrir espaço estruturado para dúvida.</w:t>
      </w:r>
    </w:p>
    <w:p w14:paraId="43FA49C4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Não fazemos: </w:t>
      </w:r>
      <w:r>
        <w:rPr>
          <w:rFonts w:ascii="Calibri" w:eastAsia="Calibri" w:hAnsi="Calibri" w:cs="Calibri"/>
          <w:color w:val="1F1F1F"/>
          <w:sz w:val="21"/>
          <w:szCs w:val="21"/>
        </w:rPr>
        <w:t>prometer transformação sem esforço do aluno.</w:t>
      </w:r>
    </w:p>
    <w:p w14:paraId="73ECB7F8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Valor 5 — Formação é coletiva</w:t>
      </w:r>
    </w:p>
    <w:p w14:paraId="5B5AA824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grupo é parte do método. Interpretar junto expõe pontos cegos que a leitura solitária esconde.</w:t>
      </w:r>
    </w:p>
    <w:p w14:paraId="3FF16171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Fazemos: </w:t>
      </w:r>
      <w:r>
        <w:rPr>
          <w:rFonts w:ascii="Calibri" w:eastAsia="Calibri" w:hAnsi="Calibri" w:cs="Calibri"/>
          <w:color w:val="1F1F1F"/>
          <w:sz w:val="21"/>
          <w:szCs w:val="21"/>
        </w:rPr>
        <w:t>encontro síncrono, discussão entre pares e feedback contínuo.</w:t>
      </w:r>
    </w:p>
    <w:p w14:paraId="2A340943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Não fazemos: </w:t>
      </w:r>
      <w:r>
        <w:rPr>
          <w:rFonts w:ascii="Calibri" w:eastAsia="Calibri" w:hAnsi="Calibri" w:cs="Calibri"/>
          <w:color w:val="1F1F1F"/>
          <w:sz w:val="21"/>
          <w:szCs w:val="21"/>
        </w:rPr>
        <w:t>vender curso gravado passivo como equivalente à mentoria.</w:t>
      </w:r>
    </w:p>
    <w:p w14:paraId="295427AF" w14:textId="77777777" w:rsidR="00563C5C" w:rsidRDefault="00806136">
      <w:r>
        <w:br w:type="page"/>
      </w:r>
    </w:p>
    <w:p w14:paraId="1C831DF9" w14:textId="77777777" w:rsidR="00563C5C" w:rsidRDefault="00806136">
      <w:pPr>
        <w:pStyle w:val="Ttulo1"/>
        <w:spacing w:before="360" w:after="200"/>
      </w:pPr>
      <w:bookmarkStart w:id="12" w:name="_Toc239254840"/>
      <w:r>
        <w:rPr>
          <w:rFonts w:ascii="Calibri" w:eastAsia="Calibri" w:hAnsi="Calibri" w:cs="Calibri"/>
          <w:b/>
          <w:bCs/>
          <w:color w:val="1F1F1F"/>
        </w:rPr>
        <w:lastRenderedPageBreak/>
        <w:t>3. Posicionamento</w:t>
      </w:r>
      <w:bookmarkEnd w:id="12"/>
    </w:p>
    <w:p w14:paraId="6D21922D" w14:textId="77777777" w:rsidR="00563C5C" w:rsidRDefault="00806136">
      <w:pPr>
        <w:pStyle w:val="Ttulo2"/>
        <w:spacing w:before="280" w:after="140"/>
      </w:pPr>
      <w:bookmarkStart w:id="13" w:name="_Toc239254841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3.1 Declaração</w:t>
      </w:r>
      <w:bookmarkEnd w:id="13"/>
    </w:p>
    <w:p w14:paraId="3BF1B572" w14:textId="77777777" w:rsidR="00563C5C" w:rsidRDefault="00806136">
      <w:pPr>
        <w:pBdr>
          <w:left w:val="single" w:sz="12" w:space="12" w:color="1F1F1F"/>
        </w:pBdr>
        <w:spacing w:before="120" w:after="180" w:line="320" w:lineRule="auto"/>
        <w:ind w:left="340"/>
      </w:pPr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 xml:space="preserve">Para o estudante e o profissional de saúde recém-formado que não confia na própria leitura da literatura, o </w:t>
      </w:r>
      <w:proofErr w:type="gramStart"/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>Interprete</w:t>
      </w:r>
      <w:proofErr w:type="gramEnd"/>
      <w:r>
        <w:rPr>
          <w:rFonts w:ascii="Calibri" w:eastAsia="Calibri" w:hAnsi="Calibri" w:cs="Calibri"/>
          <w:i/>
          <w:iCs/>
          <w:color w:val="1F1F1F"/>
          <w:sz w:val="23"/>
          <w:szCs w:val="23"/>
        </w:rPr>
        <w:t>. é a escola de prática baseada em evidências que ensina o raciocínio por trás da decisão — porque devolve autonomia em vez de entregar protocolo.</w:t>
      </w:r>
    </w:p>
    <w:p w14:paraId="42CA9BDF" w14:textId="77777777" w:rsidR="00563C5C" w:rsidRDefault="00806136">
      <w:pPr>
        <w:pStyle w:val="Ttulo2"/>
        <w:spacing w:before="280" w:after="140"/>
      </w:pPr>
      <w:bookmarkStart w:id="14" w:name="_Toc239254842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3.2 O que somos e o que não somos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63C5C" w14:paraId="4E533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AA276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Somos</w:t>
            </w:r>
          </w:p>
        </w:tc>
        <w:tc>
          <w:tcPr>
            <w:tcW w:w="4513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C76AA7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Não somos</w:t>
            </w:r>
          </w:p>
        </w:tc>
      </w:tr>
      <w:tr w:rsidR="00563C5C" w14:paraId="7BD834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66644" w14:textId="11A19120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 xml:space="preserve">Escola </w:t>
            </w:r>
            <w:r w:rsidR="00EA47F5">
              <w:rPr>
                <w:rFonts w:ascii="Calibri" w:eastAsia="Calibri" w:hAnsi="Calibri" w:cs="Calibri"/>
                <w:color w:val="1F1F1F"/>
              </w:rPr>
              <w:t>com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 w:rsidR="00EA47F5">
              <w:rPr>
                <w:rFonts w:ascii="Calibri" w:eastAsia="Calibri" w:hAnsi="Calibri" w:cs="Calibri"/>
                <w:color w:val="1F1F1F"/>
              </w:rPr>
              <w:t>modelo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 w:rsidR="00EA47F5">
              <w:rPr>
                <w:rFonts w:ascii="Calibri" w:eastAsia="Calibri" w:hAnsi="Calibri" w:cs="Calibri"/>
                <w:color w:val="1F1F1F"/>
              </w:rPr>
              <w:t>para a</w:t>
            </w:r>
            <w:r>
              <w:rPr>
                <w:rFonts w:ascii="Calibri" w:eastAsia="Calibri" w:hAnsi="Calibri" w:cs="Calibri"/>
                <w:color w:val="1F1F1F"/>
              </w:rPr>
              <w:t xml:space="preserve"> decisão clínica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3E308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Curso de condutas e protocolos</w:t>
            </w:r>
          </w:p>
        </w:tc>
      </w:tr>
      <w:tr w:rsidR="00563C5C" w14:paraId="41D65B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6DCE06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Formação com encontro síncrono e discussão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58F46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Videoteca gravada de consumo passivo</w:t>
            </w:r>
          </w:p>
        </w:tc>
      </w:tr>
      <w:tr w:rsidR="00563C5C" w14:paraId="625414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2CDA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Interpretação com racional exposto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47DF72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Apresentação de artigos sem racional</w:t>
            </w:r>
          </w:p>
        </w:tc>
      </w:tr>
      <w:tr w:rsidR="00563C5C" w14:paraId="752E3B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A5FE0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Marca independente, com identidade própria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1030D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Extensão ou submarca de outra marca</w:t>
            </w:r>
          </w:p>
        </w:tc>
      </w:tr>
      <w:tr w:rsidR="00563C5C" w14:paraId="55C227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B68BC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Linguagem de par para par, com rigor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1CAA68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Discurso motivacional ou de guru</w:t>
            </w:r>
          </w:p>
        </w:tc>
      </w:tr>
    </w:tbl>
    <w:p w14:paraId="1466E46A" w14:textId="77777777" w:rsidR="00563C5C" w:rsidRDefault="00563C5C">
      <w:pPr>
        <w:spacing w:after="200"/>
      </w:pPr>
    </w:p>
    <w:p w14:paraId="4A5566E9" w14:textId="77777777" w:rsidR="00563C5C" w:rsidRDefault="00806136">
      <w:pPr>
        <w:pStyle w:val="Ttulo2"/>
        <w:spacing w:before="280" w:after="140"/>
      </w:pPr>
      <w:bookmarkStart w:id="15" w:name="_Toc239254843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3.3 Diferenciais</w:t>
      </w:r>
      <w:bookmarkEnd w:id="15"/>
    </w:p>
    <w:p w14:paraId="4959DF85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Ensina o processo de busca e interpretação, não o resultado da interpretação de outra pessoa.</w:t>
      </w:r>
    </w:p>
    <w:p w14:paraId="17E0DA38" w14:textId="7E1E79FA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Torna o raciocínio visível: o aluno vê como a conclusão foi construída</w:t>
      </w:r>
      <w:r w:rsidR="00B2369D">
        <w:rPr>
          <w:rFonts w:ascii="Calibri" w:eastAsia="Calibri" w:hAnsi="Calibri" w:cs="Calibri"/>
          <w:color w:val="1F1F1F"/>
          <w:sz w:val="21"/>
          <w:szCs w:val="21"/>
        </w:rPr>
        <w:t>, em qual parte se fortalece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e </w:t>
      </w:r>
      <w:r w:rsidR="00B2369D">
        <w:rPr>
          <w:rFonts w:ascii="Calibri" w:eastAsia="Calibri" w:hAnsi="Calibri" w:cs="Calibri"/>
          <w:color w:val="1F1F1F"/>
          <w:sz w:val="21"/>
          <w:szCs w:val="21"/>
        </w:rPr>
        <w:t>quando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ela é frágil.</w:t>
      </w:r>
    </w:p>
    <w:p w14:paraId="28205536" w14:textId="0FCE595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Trabalha a transitividade — a ponte entre o dado do estudo e o paciente real</w:t>
      </w:r>
      <w:r w:rsidR="00B2369D">
        <w:rPr>
          <w:rFonts w:ascii="Calibri" w:eastAsia="Calibri" w:hAnsi="Calibri" w:cs="Calibri"/>
          <w:color w:val="1F1F1F"/>
          <w:sz w:val="21"/>
          <w:szCs w:val="21"/>
        </w:rPr>
        <w:t>, a depender do contexto.</w:t>
      </w:r>
    </w:p>
    <w:p w14:paraId="7B71BB4D" w14:textId="6C6FE9F7" w:rsidR="00563C5C" w:rsidRPr="00B2369D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Formato de mentoria em grupo, com leitura prévia, encontro ao vivo e feedback de evolução.</w:t>
      </w:r>
    </w:p>
    <w:p w14:paraId="7E04E05E" w14:textId="31A918D0" w:rsidR="00B2369D" w:rsidRDefault="00B2369D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Modelo síncrono e próximo. Nenhum aluno fica na mão.</w:t>
      </w:r>
    </w:p>
    <w:p w14:paraId="552B6C23" w14:textId="77777777" w:rsidR="00563C5C" w:rsidRDefault="00806136">
      <w:r>
        <w:br w:type="page"/>
      </w:r>
    </w:p>
    <w:p w14:paraId="7DE05B98" w14:textId="77777777" w:rsidR="00563C5C" w:rsidRDefault="00806136">
      <w:pPr>
        <w:pStyle w:val="Ttulo1"/>
        <w:spacing w:before="360" w:after="200"/>
      </w:pPr>
      <w:bookmarkStart w:id="16" w:name="_Toc239254844"/>
      <w:r>
        <w:rPr>
          <w:rFonts w:ascii="Calibri" w:eastAsia="Calibri" w:hAnsi="Calibri" w:cs="Calibri"/>
          <w:b/>
          <w:bCs/>
          <w:color w:val="1F1F1F"/>
        </w:rPr>
        <w:lastRenderedPageBreak/>
        <w:t>4. Público-alvo</w:t>
      </w:r>
      <w:bookmarkEnd w:id="16"/>
    </w:p>
    <w:p w14:paraId="2326D11A" w14:textId="77777777" w:rsidR="00563C5C" w:rsidRDefault="00806136">
      <w:pPr>
        <w:pStyle w:val="Ttulo2"/>
        <w:spacing w:before="280" w:after="140"/>
      </w:pPr>
      <w:bookmarkStart w:id="17" w:name="_Toc239254845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4.1 Público primário</w:t>
      </w:r>
      <w:bookmarkEnd w:id="17"/>
    </w:p>
    <w:p w14:paraId="2330A817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Estudantes de graduação — em especial de ligas acadêmicas — e profissionais de saúde recém-formados, com foco em nutricionistas.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C5C" w14:paraId="40331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AD457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Dimensão</w:t>
            </w:r>
          </w:p>
        </w:tc>
        <w:tc>
          <w:tcPr>
            <w:tcW w:w="66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4D8D5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Descrição</w:t>
            </w:r>
          </w:p>
        </w:tc>
      </w:tr>
      <w:tr w:rsidR="00563C5C" w14:paraId="68F22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D338A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Momento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306DD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Fim da graduação ou primeiros anos de prática clínica</w:t>
            </w:r>
          </w:p>
        </w:tc>
      </w:tr>
      <w:tr w:rsidR="00563C5C" w14:paraId="086D0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2B19B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Dor principal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5E9F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Insegurança na decisão clínica; não confia na própria leitura de um artigo</w:t>
            </w:r>
          </w:p>
        </w:tc>
      </w:tr>
      <w:tr w:rsidR="00563C5C" w14:paraId="7F69FD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C3F5A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Dor secundária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B5116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Percebe que quem ensina no mercado nem sempre tem lastro, mas não sabe como verificar</w:t>
            </w:r>
          </w:p>
        </w:tc>
      </w:tr>
      <w:tr w:rsidR="00563C5C" w14:paraId="0281D8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294A7A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Objeção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1AE9A2" w14:textId="1BB40F38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"É complexo demais", "não tenho base de estatística", "não tenho dinheiro agora"</w:t>
            </w:r>
            <w:r w:rsidR="002A2018">
              <w:rPr>
                <w:rFonts w:ascii="Calibri" w:eastAsia="Calibri" w:hAnsi="Calibri" w:cs="Calibri"/>
                <w:color w:val="1F1F1F"/>
              </w:rPr>
              <w:t>, “acho que posso não ser suficiente”</w:t>
            </w:r>
          </w:p>
        </w:tc>
      </w:tr>
      <w:tr w:rsidR="00563C5C" w14:paraId="37457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55A8C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Gatilho de decisão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3870A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Ver o raciocínio destrinchado e concluir que consegue reproduzi-lo</w:t>
            </w:r>
          </w:p>
        </w:tc>
      </w:tr>
      <w:tr w:rsidR="00563C5C" w14:paraId="47C73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4DE6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Sensibilidade a preço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E40601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Alta</w:t>
            </w:r>
          </w:p>
        </w:tc>
      </w:tr>
    </w:tbl>
    <w:p w14:paraId="41387C23" w14:textId="77777777" w:rsidR="00563C5C" w:rsidRDefault="00563C5C">
      <w:pPr>
        <w:spacing w:after="200"/>
      </w:pPr>
    </w:p>
    <w:p w14:paraId="2EFF108D" w14:textId="77777777" w:rsidR="00563C5C" w:rsidRDefault="00806136">
      <w:pPr>
        <w:pStyle w:val="Ttulo2"/>
        <w:spacing w:before="280" w:after="140"/>
      </w:pPr>
      <w:bookmarkStart w:id="18" w:name="_Toc239254846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4.2 Público secundário</w:t>
      </w:r>
      <w:bookmarkEnd w:id="18"/>
    </w:p>
    <w:p w14:paraId="0A2AAFCB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Nutricionistas e outros profissionais de saúde já em atuação clínica, que querem fundamentar melhor a própria conduta.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C5C" w14:paraId="6555A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A6A59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Dimensão</w:t>
            </w:r>
          </w:p>
        </w:tc>
        <w:tc>
          <w:tcPr>
            <w:tcW w:w="66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A3C3C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Descrição</w:t>
            </w:r>
          </w:p>
        </w:tc>
      </w:tr>
      <w:tr w:rsidR="00563C5C" w14:paraId="2CCCA4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454C7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Momento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9290D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Prática consolidada, com repertório clínico e pouco tempo</w:t>
            </w:r>
          </w:p>
        </w:tc>
      </w:tr>
      <w:tr w:rsidR="00563C5C" w14:paraId="26BE3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D2E5B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Dor principal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C33B1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Sabe decidir na prática, mas não sabe justificar tecnicamente a decisão</w:t>
            </w:r>
          </w:p>
        </w:tc>
      </w:tr>
      <w:tr w:rsidR="00563C5C" w14:paraId="49065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6E3629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Objeção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0BD2D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"Já sei ler artigo", "não tenho agenda para mais um curso"</w:t>
            </w:r>
          </w:p>
        </w:tc>
      </w:tr>
      <w:tr w:rsidR="00563C5C" w14:paraId="71D69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838338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Gatilho de decisão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4DB2F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Perceber uma lacuna concreta no próprio raciocínio, não uma promessa genérica</w:t>
            </w:r>
          </w:p>
        </w:tc>
      </w:tr>
      <w:tr w:rsidR="00563C5C" w14:paraId="7AE4C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B299B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Sensibilidade a preço</w:t>
            </w:r>
          </w:p>
        </w:tc>
        <w:tc>
          <w:tcPr>
            <w:tcW w:w="6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C0F0DA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Média</w:t>
            </w:r>
          </w:p>
        </w:tc>
      </w:tr>
    </w:tbl>
    <w:p w14:paraId="365D6546" w14:textId="77777777" w:rsidR="00563C5C" w:rsidRDefault="00563C5C">
      <w:pPr>
        <w:spacing w:after="200"/>
      </w:pPr>
    </w:p>
    <w:p w14:paraId="780AD9E9" w14:textId="77777777" w:rsidR="002A2018" w:rsidRDefault="002A2018">
      <w:pPr>
        <w:spacing w:after="200"/>
      </w:pPr>
    </w:p>
    <w:p w14:paraId="3EAF402C" w14:textId="77777777" w:rsidR="002A2018" w:rsidRDefault="002A2018">
      <w:pPr>
        <w:spacing w:after="200"/>
      </w:pPr>
    </w:p>
    <w:p w14:paraId="5FCB384C" w14:textId="77777777" w:rsidR="002A2018" w:rsidRDefault="002A2018">
      <w:pPr>
        <w:spacing w:after="200"/>
      </w:pPr>
    </w:p>
    <w:p w14:paraId="38030353" w14:textId="77777777" w:rsidR="00563C5C" w:rsidRDefault="00806136">
      <w:pPr>
        <w:pStyle w:val="Ttulo2"/>
        <w:spacing w:before="280" w:after="140"/>
      </w:pPr>
      <w:bookmarkStart w:id="19" w:name="_Toc239254847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lastRenderedPageBreak/>
        <w:t>4.3 Regra de adaptação de linguagem</w:t>
      </w:r>
      <w:bookmarkEnd w:id="19"/>
    </w:p>
    <w:p w14:paraId="66A35946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material é escrito por padrão para o público primário. Isso significa:</w:t>
      </w:r>
    </w:p>
    <w:p w14:paraId="23A4AF45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Jargão sempre explicado na primeira aparição, sem exceção.</w:t>
      </w:r>
    </w:p>
    <w:p w14:paraId="7FE49F90" w14:textId="7EB071AA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Linguagem </w:t>
      </w:r>
      <w:r w:rsidR="00DE7B5A">
        <w:rPr>
          <w:rFonts w:ascii="Calibri" w:eastAsia="Calibri" w:hAnsi="Calibri" w:cs="Calibri"/>
          <w:color w:val="1F1F1F"/>
          <w:sz w:val="21"/>
          <w:szCs w:val="21"/>
        </w:rPr>
        <w:t>horizontal, levemente hierárquica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, </w:t>
      </w:r>
      <w:r w:rsidR="00DE7B5A">
        <w:rPr>
          <w:rFonts w:ascii="Calibri" w:eastAsia="Calibri" w:hAnsi="Calibri" w:cs="Calibri"/>
          <w:color w:val="1F1F1F"/>
          <w:sz w:val="21"/>
          <w:szCs w:val="21"/>
        </w:rPr>
        <w:t xml:space="preserve">mas 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nunca de autoridade </w:t>
      </w:r>
      <w:r w:rsidR="00DE7B5A">
        <w:rPr>
          <w:rFonts w:ascii="Calibri" w:eastAsia="Calibri" w:hAnsi="Calibri" w:cs="Calibri"/>
          <w:color w:val="1F1F1F"/>
          <w:sz w:val="21"/>
          <w:szCs w:val="21"/>
        </w:rPr>
        <w:t xml:space="preserve">absoluta </w:t>
      </w:r>
      <w:r>
        <w:rPr>
          <w:rFonts w:ascii="Calibri" w:eastAsia="Calibri" w:hAnsi="Calibri" w:cs="Calibri"/>
          <w:color w:val="1F1F1F"/>
          <w:sz w:val="21"/>
          <w:szCs w:val="21"/>
        </w:rPr>
        <w:t>sobre iniciante.</w:t>
      </w:r>
    </w:p>
    <w:p w14:paraId="00CA4BAE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Ênfase na viabilidade — "você consegue fazer isso" — e não na complexidade do tema.</w:t>
      </w:r>
    </w:p>
    <w:p w14:paraId="6BC60922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Exemplos tirados de situação de consultório reconhecível, não de abstração metodológica.</w:t>
      </w:r>
    </w:p>
    <w:p w14:paraId="27593CAA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Quando a peça for dirigida ao público secundário, ajusta-se apenas a densidade técnica e o exemplo clínico. Tom, valores e proibições não mudam.</w:t>
      </w:r>
    </w:p>
    <w:p w14:paraId="25790693" w14:textId="77777777" w:rsidR="00563C5C" w:rsidRDefault="00806136">
      <w:r>
        <w:br w:type="page"/>
      </w:r>
    </w:p>
    <w:p w14:paraId="2EFDED73" w14:textId="77777777" w:rsidR="00563C5C" w:rsidRDefault="00806136">
      <w:pPr>
        <w:pStyle w:val="Ttulo1"/>
        <w:spacing w:before="360" w:after="200"/>
      </w:pPr>
      <w:bookmarkStart w:id="20" w:name="_Toc239254848"/>
      <w:r>
        <w:rPr>
          <w:rFonts w:ascii="Calibri" w:eastAsia="Calibri" w:hAnsi="Calibri" w:cs="Calibri"/>
          <w:b/>
          <w:bCs/>
          <w:color w:val="1F1F1F"/>
        </w:rPr>
        <w:lastRenderedPageBreak/>
        <w:t>5. Pilares de marca</w:t>
      </w:r>
      <w:bookmarkEnd w:id="20"/>
    </w:p>
    <w:p w14:paraId="5E8B2985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Pilares são os temas sobre os quais a marca tem legitimidade para falar. Todo conteúdo produzido deve poder ser classificado em um deles. Conteúdo que não cabe em nenhum pilar não é publicado.</w:t>
      </w:r>
    </w:p>
    <w:p w14:paraId="1BC4BDDE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Pilar 1 — Busca</w:t>
      </w:r>
    </w:p>
    <w:p w14:paraId="65B4AC5D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Encontrar a evidência certa para a pergunta certa. Pergunta clínica estruturada, escolha de base, estratégia de busca, filtros, triagem.</w:t>
      </w:r>
    </w:p>
    <w:p w14:paraId="5F4546E5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Pilar 2 — Interpretação</w:t>
      </w:r>
    </w:p>
    <w:p w14:paraId="7FBDBA98" w14:textId="61A59860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que o estudo mede, o que não mede e o que a conclusão realmente autoriza dizer. Desenho, desfecho, magnitude de efeito, incerteza, risco de viés</w:t>
      </w:r>
      <w:r w:rsidR="00EA47F5">
        <w:rPr>
          <w:rFonts w:ascii="Calibri" w:eastAsia="Calibri" w:hAnsi="Calibri" w:cs="Calibri"/>
          <w:color w:val="1F1F1F"/>
          <w:sz w:val="21"/>
          <w:szCs w:val="21"/>
        </w:rPr>
        <w:t xml:space="preserve"> e outras avaliações de validade e confiabilidade, somadas a concepção de sua relevância para a prática clínica.</w:t>
      </w:r>
    </w:p>
    <w:p w14:paraId="2CAC5FA4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Pilar 3 — Transitividade</w:t>
      </w:r>
    </w:p>
    <w:p w14:paraId="6BDDEB2B" w14:textId="1A4F6690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 ponte entre o dado e o paciente à sua frente. Aplicabilidade, população estudada, contexto</w:t>
      </w:r>
      <w:r>
        <w:rPr>
          <w:rFonts w:ascii="Calibri" w:eastAsia="Calibri" w:hAnsi="Calibri" w:cs="Calibri"/>
          <w:color w:val="1F1F1F"/>
          <w:sz w:val="21"/>
          <w:szCs w:val="21"/>
        </w:rPr>
        <w:t>, viabilidade prática</w:t>
      </w:r>
      <w:r w:rsidR="00EA47F5">
        <w:rPr>
          <w:rFonts w:ascii="Calibri" w:eastAsia="Calibri" w:hAnsi="Calibri" w:cs="Calibri"/>
          <w:color w:val="1F1F1F"/>
          <w:sz w:val="21"/>
          <w:szCs w:val="21"/>
        </w:rPr>
        <w:t xml:space="preserve">, decisão </w:t>
      </w:r>
      <w:proofErr w:type="gramStart"/>
      <w:r w:rsidR="00EA47F5">
        <w:rPr>
          <w:rFonts w:ascii="Calibri" w:eastAsia="Calibri" w:hAnsi="Calibri" w:cs="Calibri"/>
          <w:color w:val="1F1F1F"/>
          <w:sz w:val="21"/>
          <w:szCs w:val="21"/>
        </w:rPr>
        <w:t>compartilhada, etc.</w:t>
      </w:r>
      <w:proofErr w:type="gramEnd"/>
    </w:p>
    <w:p w14:paraId="3B93D399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Pilar 4 — Letramento crítico</w:t>
      </w:r>
    </w:p>
    <w:p w14:paraId="31295B8A" w14:textId="2A1EBDB1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Reconhecer o argumento de autoridade, o congresso mal fundamentado, o gráfico enganoso e o próprio viés</w:t>
      </w:r>
      <w:r w:rsidR="00EA47F5">
        <w:rPr>
          <w:rFonts w:ascii="Calibri" w:eastAsia="Calibri" w:hAnsi="Calibri" w:cs="Calibri"/>
          <w:color w:val="1F1F1F"/>
          <w:sz w:val="21"/>
          <w:szCs w:val="21"/>
        </w:rPr>
        <w:t xml:space="preserve"> e/ou pensamento falacioso</w:t>
      </w:r>
      <w:r>
        <w:rPr>
          <w:rFonts w:ascii="Calibri" w:eastAsia="Calibri" w:hAnsi="Calibri" w:cs="Calibri"/>
          <w:color w:val="1F1F1F"/>
          <w:sz w:val="21"/>
          <w:szCs w:val="21"/>
        </w:rPr>
        <w:t>. É o pilar que sustenta o conteúdo aberto, porque gera identificação antes de qualquer oferta.</w:t>
      </w:r>
    </w:p>
    <w:p w14:paraId="1AA99780" w14:textId="77777777" w:rsidR="00563C5C" w:rsidRDefault="00563C5C">
      <w:pPr>
        <w:spacing w:after="200"/>
      </w:pPr>
    </w:p>
    <w:p w14:paraId="7725BF38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Distribuição sugerida em conteúdo aberto: </w:t>
      </w:r>
      <w:r>
        <w:rPr>
          <w:rFonts w:ascii="Calibri" w:eastAsia="Calibri" w:hAnsi="Calibri" w:cs="Calibri"/>
          <w:color w:val="1F1F1F"/>
          <w:sz w:val="21"/>
          <w:szCs w:val="21"/>
        </w:rPr>
        <w:t>letramento crítico e interpretação puxam o alcance; busca e transitividade sustentam a autoridade técnica e a conversão.</w:t>
      </w:r>
    </w:p>
    <w:p w14:paraId="7E25D09C" w14:textId="77777777" w:rsidR="00563C5C" w:rsidRDefault="00806136">
      <w:r>
        <w:br w:type="page"/>
      </w:r>
    </w:p>
    <w:p w14:paraId="0BC0E7E3" w14:textId="77777777" w:rsidR="00563C5C" w:rsidRDefault="00806136">
      <w:pPr>
        <w:pStyle w:val="Ttulo1"/>
        <w:spacing w:before="360" w:after="200"/>
      </w:pPr>
      <w:bookmarkStart w:id="21" w:name="_Toc239254849"/>
      <w:r>
        <w:rPr>
          <w:rFonts w:ascii="Calibri" w:eastAsia="Calibri" w:hAnsi="Calibri" w:cs="Calibri"/>
          <w:b/>
          <w:bCs/>
          <w:color w:val="1F1F1F"/>
        </w:rPr>
        <w:lastRenderedPageBreak/>
        <w:t>6. Territórios de marca</w:t>
      </w:r>
      <w:bookmarkEnd w:id="21"/>
    </w:p>
    <w:p w14:paraId="028CA2A5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Territórios são os espaços de discurso que a marca ocupa — como ela entra no assunto, não apenas de que assunto trata. Cada território abaixo tem uma postura e um tipo de pauta associado.</w:t>
      </w:r>
    </w:p>
    <w:p w14:paraId="684849BD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Território 1 — O bastidor da decisão</w:t>
      </w:r>
    </w:p>
    <w:p w14:paraId="3841C189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Mostrar o caminho, não o veredito. Pautas que abrem o processo: como uma pergunta virou uma busca, por que um artigo foi descartado, onde a leitura empacou.</w:t>
      </w:r>
    </w:p>
    <w:p w14:paraId="4DAA8880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Postura: transparente e didática.</w:t>
      </w:r>
    </w:p>
    <w:p w14:paraId="22436746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Território 2 — A autoridade sob suspeita</w:t>
      </w:r>
    </w:p>
    <w:p w14:paraId="0EDDBAEE" w14:textId="2D2104F0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Questionar a fonte da afirmação, não a pessoa. Pautas sobre argumento de autoridade, palestra de congresso sem lastro, conduta repetida por tradição</w:t>
      </w:r>
      <w:r w:rsidR="00407F13">
        <w:rPr>
          <w:rFonts w:ascii="Calibri" w:eastAsia="Calibri" w:hAnsi="Calibri" w:cs="Calibri"/>
          <w:color w:val="1F1F1F"/>
          <w:sz w:val="21"/>
          <w:szCs w:val="21"/>
        </w:rPr>
        <w:t xml:space="preserve"> e/ou tempo </w:t>
      </w:r>
      <w:proofErr w:type="gramStart"/>
      <w:r w:rsidR="00407F13">
        <w:rPr>
          <w:rFonts w:ascii="Calibri" w:eastAsia="Calibri" w:hAnsi="Calibri" w:cs="Calibri"/>
          <w:color w:val="1F1F1F"/>
          <w:sz w:val="21"/>
          <w:szCs w:val="21"/>
        </w:rPr>
        <w:t>investido, etc.</w:t>
      </w:r>
      <w:proofErr w:type="gramEnd"/>
    </w:p>
    <w:p w14:paraId="6B58EF69" w14:textId="66C7410E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Postura: firme, nunca pessoal. A marca ataca o argumento</w:t>
      </w:r>
      <w:r>
        <w:rPr>
          <w:rFonts w:ascii="Calibri" w:eastAsia="Calibri" w:hAnsi="Calibri" w:cs="Calibri"/>
          <w:color w:val="6B6B6B"/>
        </w:rPr>
        <w:t>.</w:t>
      </w:r>
    </w:p>
    <w:p w14:paraId="4DE57CC4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Território 3 — Do artigo ao paciente</w:t>
      </w:r>
    </w:p>
    <w:p w14:paraId="77F03B26" w14:textId="37974D72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Aplicabilidade concreta. Pautas que pegam um achado e </w:t>
      </w:r>
      <w:r w:rsidR="0023655F">
        <w:rPr>
          <w:rFonts w:ascii="Calibri" w:eastAsia="Calibri" w:hAnsi="Calibri" w:cs="Calibri"/>
          <w:color w:val="1F1F1F"/>
          <w:sz w:val="21"/>
          <w:szCs w:val="21"/>
        </w:rPr>
        <w:t>estimam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se ele sobrevive ao consultório</w:t>
      </w:r>
      <w:r>
        <w:rPr>
          <w:rFonts w:ascii="Calibri" w:eastAsia="Calibri" w:hAnsi="Calibri" w:cs="Calibri"/>
          <w:color w:val="1F1F1F"/>
          <w:sz w:val="21"/>
          <w:szCs w:val="21"/>
        </w:rPr>
        <w:t>: população</w:t>
      </w:r>
      <w:r w:rsidR="0023655F">
        <w:rPr>
          <w:rFonts w:ascii="Calibri" w:eastAsia="Calibri" w:hAnsi="Calibri" w:cs="Calibri"/>
          <w:color w:val="1F1F1F"/>
          <w:sz w:val="21"/>
          <w:szCs w:val="21"/>
        </w:rPr>
        <w:t>-alvo</w:t>
      </w:r>
      <w:r>
        <w:rPr>
          <w:rFonts w:ascii="Calibri" w:eastAsia="Calibri" w:hAnsi="Calibri" w:cs="Calibri"/>
          <w:color w:val="1F1F1F"/>
          <w:sz w:val="21"/>
          <w:szCs w:val="21"/>
        </w:rPr>
        <w:t>, dose, viabilidade</w:t>
      </w:r>
      <w:r w:rsidR="0023655F">
        <w:rPr>
          <w:rFonts w:ascii="Calibri" w:eastAsia="Calibri" w:hAnsi="Calibri" w:cs="Calibri"/>
          <w:color w:val="1F1F1F"/>
          <w:sz w:val="21"/>
          <w:szCs w:val="21"/>
        </w:rPr>
        <w:t xml:space="preserve"> e </w:t>
      </w:r>
      <w:r>
        <w:rPr>
          <w:rFonts w:ascii="Calibri" w:eastAsia="Calibri" w:hAnsi="Calibri" w:cs="Calibri"/>
          <w:color w:val="1F1F1F"/>
          <w:sz w:val="21"/>
          <w:szCs w:val="21"/>
        </w:rPr>
        <w:t>custo, ade</w:t>
      </w:r>
      <w:r w:rsidR="0023655F">
        <w:rPr>
          <w:rFonts w:ascii="Calibri" w:eastAsia="Calibri" w:hAnsi="Calibri" w:cs="Calibri"/>
          <w:color w:val="1F1F1F"/>
          <w:sz w:val="21"/>
          <w:szCs w:val="21"/>
        </w:rPr>
        <w:t xml:space="preserve">são, </w:t>
      </w:r>
      <w:r w:rsidR="00F32F6B">
        <w:rPr>
          <w:rFonts w:ascii="Calibri" w:eastAsia="Calibri" w:hAnsi="Calibri" w:cs="Calibri"/>
          <w:color w:val="1F1F1F"/>
          <w:sz w:val="21"/>
          <w:szCs w:val="21"/>
        </w:rPr>
        <w:t>tempo até desfecho</w:t>
      </w:r>
      <w:r w:rsidR="009724F4">
        <w:rPr>
          <w:rFonts w:ascii="Calibri" w:eastAsia="Calibri" w:hAnsi="Calibri" w:cs="Calibri"/>
          <w:color w:val="1F1F1F"/>
          <w:sz w:val="21"/>
          <w:szCs w:val="21"/>
        </w:rPr>
        <w:t>, histórico de aprendizagem do paciente, entre outros...</w:t>
      </w:r>
    </w:p>
    <w:p w14:paraId="561A19BD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Postura: prática e honesta sobre limites.</w:t>
      </w:r>
    </w:p>
    <w:p w14:paraId="425A47F1" w14:textId="56514F3E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Território 4 — O erro como método</w:t>
      </w:r>
      <w:r w:rsidR="00480262">
        <w:rPr>
          <w:rFonts w:ascii="Calibri" w:eastAsia="Calibri" w:hAnsi="Calibri" w:cs="Calibri"/>
          <w:b/>
          <w:bCs/>
          <w:color w:val="6B6B6B"/>
          <w:sz w:val="22"/>
          <w:szCs w:val="22"/>
        </w:rPr>
        <w:t xml:space="preserve"> (o Eterno Aprendiz)</w:t>
      </w:r>
    </w:p>
    <w:p w14:paraId="1C86D20D" w14:textId="3E8285E1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Interpretações que mudaram, incluindo as nossas. Pautas sobre revisão de crença, atualização diante de evidência nova, o que ensinávamos antes e não ensinamos mais</w:t>
      </w:r>
      <w:r w:rsidR="00480262">
        <w:rPr>
          <w:rFonts w:ascii="Calibri" w:eastAsia="Calibri" w:hAnsi="Calibri" w:cs="Calibri"/>
          <w:color w:val="1F1F1F"/>
          <w:sz w:val="21"/>
          <w:szCs w:val="21"/>
        </w:rPr>
        <w:t>, assim como a humildade de sempre se manter um aprendiz</w:t>
      </w:r>
    </w:p>
    <w:p w14:paraId="7B350CF8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Postura: vulnerável e rigorosa ao mesmo tempo. É o território que mais diferencia a marca e o mais difícil de imitar.</w:t>
      </w:r>
    </w:p>
    <w:p w14:paraId="3D3F748A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Território 5 — Formação e começo de carreira</w:t>
      </w:r>
    </w:p>
    <w:p w14:paraId="4666A1EE" w14:textId="50FE87E4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A lacuna entre o que a graduação </w:t>
      </w:r>
      <w:r w:rsidR="00480262">
        <w:rPr>
          <w:rFonts w:ascii="Calibri" w:eastAsia="Calibri" w:hAnsi="Calibri" w:cs="Calibri"/>
          <w:color w:val="1F1F1F"/>
          <w:sz w:val="21"/>
          <w:szCs w:val="21"/>
        </w:rPr>
        <w:t xml:space="preserve">nos 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ensina </w:t>
      </w:r>
      <w:r w:rsidR="00D034AA">
        <w:rPr>
          <w:rFonts w:ascii="Calibri" w:eastAsia="Calibri" w:hAnsi="Calibri" w:cs="Calibri"/>
          <w:color w:val="1F1F1F"/>
          <w:sz w:val="21"/>
          <w:szCs w:val="21"/>
        </w:rPr>
        <w:t xml:space="preserve">hoje 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e o que a clínica </w:t>
      </w:r>
      <w:r w:rsidR="00480262">
        <w:rPr>
          <w:rFonts w:ascii="Calibri" w:eastAsia="Calibri" w:hAnsi="Calibri" w:cs="Calibri"/>
          <w:color w:val="1F1F1F"/>
          <w:sz w:val="21"/>
          <w:szCs w:val="21"/>
        </w:rPr>
        <w:t xml:space="preserve">também 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exige. Pautas sobre insegurança inicial, </w:t>
      </w:r>
      <w:r w:rsidR="00D034AA">
        <w:rPr>
          <w:rFonts w:ascii="Calibri" w:eastAsia="Calibri" w:hAnsi="Calibri" w:cs="Calibri"/>
          <w:color w:val="1F1F1F"/>
          <w:sz w:val="21"/>
          <w:szCs w:val="21"/>
        </w:rPr>
        <w:t xml:space="preserve">gestão de tempo, </w:t>
      </w:r>
      <w:r>
        <w:rPr>
          <w:rFonts w:ascii="Calibri" w:eastAsia="Calibri" w:hAnsi="Calibri" w:cs="Calibri"/>
          <w:color w:val="1F1F1F"/>
          <w:sz w:val="21"/>
          <w:szCs w:val="21"/>
        </w:rPr>
        <w:t>o que estudar primeiro</w:t>
      </w:r>
      <w:r w:rsidR="00D034AA">
        <w:rPr>
          <w:rFonts w:ascii="Calibri" w:eastAsia="Calibri" w:hAnsi="Calibri" w:cs="Calibri"/>
          <w:color w:val="1F1F1F"/>
          <w:sz w:val="21"/>
          <w:szCs w:val="21"/>
        </w:rPr>
        <w:t xml:space="preserve"> e </w:t>
      </w:r>
      <w:r>
        <w:rPr>
          <w:rFonts w:ascii="Calibri" w:eastAsia="Calibri" w:hAnsi="Calibri" w:cs="Calibri"/>
          <w:color w:val="1F1F1F"/>
          <w:sz w:val="21"/>
          <w:szCs w:val="21"/>
        </w:rPr>
        <w:t>como não se perder na literatura.</w:t>
      </w:r>
    </w:p>
    <w:p w14:paraId="6A5F1275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Postura: acolhedora, sem condescendência. É a porta de entrada do público primário.</w:t>
      </w:r>
    </w:p>
    <w:p w14:paraId="5C53FB07" w14:textId="77777777" w:rsidR="00563C5C" w:rsidRDefault="00806136">
      <w:r>
        <w:br w:type="page"/>
      </w:r>
    </w:p>
    <w:p w14:paraId="1CD2244C" w14:textId="77777777" w:rsidR="00563C5C" w:rsidRDefault="00806136">
      <w:pPr>
        <w:pStyle w:val="Ttulo1"/>
        <w:spacing w:before="360" w:after="200"/>
      </w:pPr>
      <w:bookmarkStart w:id="22" w:name="_Toc239254850"/>
      <w:r>
        <w:rPr>
          <w:rFonts w:ascii="Calibri" w:eastAsia="Calibri" w:hAnsi="Calibri" w:cs="Calibri"/>
          <w:b/>
          <w:bCs/>
          <w:color w:val="1F1F1F"/>
        </w:rPr>
        <w:lastRenderedPageBreak/>
        <w:t>7. Voz e tom</w:t>
      </w:r>
      <w:bookmarkEnd w:id="22"/>
    </w:p>
    <w:p w14:paraId="44C7288A" w14:textId="77777777" w:rsidR="00563C5C" w:rsidRDefault="00806136">
      <w:pPr>
        <w:pStyle w:val="Ttulo2"/>
        <w:spacing w:before="280" w:after="140"/>
      </w:pPr>
      <w:bookmarkStart w:id="23" w:name="_Toc239254851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7.1 Arquétipo de voz</w:t>
      </w:r>
      <w:bookmarkEnd w:id="23"/>
    </w:p>
    <w:p w14:paraId="276B0110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A voz do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. combina duas posturas:</w:t>
      </w:r>
    </w:p>
    <w:p w14:paraId="4F148EDD" w14:textId="160CE9AC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Professor claro e paciente — explica </w:t>
      </w:r>
      <w:r w:rsidR="00A05B23">
        <w:rPr>
          <w:rFonts w:ascii="Calibri" w:eastAsia="Calibri" w:hAnsi="Calibri" w:cs="Calibri"/>
          <w:color w:val="1F1F1F"/>
          <w:sz w:val="21"/>
          <w:szCs w:val="21"/>
        </w:rPr>
        <w:t>e varia</w:t>
      </w:r>
      <w:r w:rsidR="00BD425C">
        <w:rPr>
          <w:rFonts w:ascii="Calibri" w:eastAsia="Calibri" w:hAnsi="Calibri" w:cs="Calibri"/>
          <w:color w:val="1F1F1F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F1F1F"/>
          <w:sz w:val="21"/>
          <w:szCs w:val="21"/>
        </w:rPr>
        <w:t>sem condescender</w:t>
      </w:r>
      <w:r w:rsidR="00A05B23">
        <w:rPr>
          <w:rFonts w:ascii="Calibri" w:eastAsia="Calibri" w:hAnsi="Calibri" w:cs="Calibri"/>
          <w:color w:val="1F1F1F"/>
          <w:sz w:val="21"/>
          <w:szCs w:val="21"/>
        </w:rPr>
        <w:t xml:space="preserve"> necessariamente</w:t>
      </w:r>
      <w:r>
        <w:rPr>
          <w:rFonts w:ascii="Calibri" w:eastAsia="Calibri" w:hAnsi="Calibri" w:cs="Calibri"/>
          <w:color w:val="1F1F1F"/>
          <w:sz w:val="21"/>
          <w:szCs w:val="21"/>
        </w:rPr>
        <w:t>, repete sem irritação</w:t>
      </w:r>
      <w:r w:rsidR="00A05B23">
        <w:rPr>
          <w:rFonts w:ascii="Calibri" w:eastAsia="Calibri" w:hAnsi="Calibri" w:cs="Calibri"/>
          <w:color w:val="1F1F1F"/>
          <w:sz w:val="21"/>
          <w:szCs w:val="21"/>
        </w:rPr>
        <w:t>...</w:t>
      </w:r>
    </w:p>
    <w:p w14:paraId="62B99C22" w14:textId="0D798EBF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Mentor socrático — devolve a pergunta em vez de entregar a resposta, provoca o raciocínio</w:t>
      </w:r>
      <w:r w:rsidR="00BD425C">
        <w:rPr>
          <w:rFonts w:ascii="Calibri" w:eastAsia="Calibri" w:hAnsi="Calibri" w:cs="Calibri"/>
          <w:color w:val="1F1F1F"/>
          <w:sz w:val="21"/>
          <w:szCs w:val="21"/>
        </w:rPr>
        <w:t xml:space="preserve"> e </w:t>
      </w:r>
      <w:r>
        <w:rPr>
          <w:rFonts w:ascii="Calibri" w:eastAsia="Calibri" w:hAnsi="Calibri" w:cs="Calibri"/>
          <w:color w:val="1F1F1F"/>
          <w:sz w:val="21"/>
          <w:szCs w:val="21"/>
        </w:rPr>
        <w:t>deixa o aluno concluir</w:t>
      </w:r>
      <w:r w:rsidR="00BD425C">
        <w:rPr>
          <w:rFonts w:ascii="Calibri" w:eastAsia="Calibri" w:hAnsi="Calibri" w:cs="Calibri"/>
          <w:color w:val="1F1F1F"/>
          <w:sz w:val="21"/>
          <w:szCs w:val="21"/>
        </w:rPr>
        <w:t xml:space="preserve"> muitas vezes.</w:t>
      </w:r>
    </w:p>
    <w:p w14:paraId="05A7BB1E" w14:textId="608312E4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 primeira torna a marca acessível ao iniciante. A segunda impede que ela vire entrega de receita</w:t>
      </w:r>
      <w:r w:rsidR="0048790C">
        <w:rPr>
          <w:rFonts w:ascii="Calibri" w:eastAsia="Calibri" w:hAnsi="Calibri" w:cs="Calibri"/>
          <w:color w:val="1F1F1F"/>
          <w:sz w:val="21"/>
          <w:szCs w:val="21"/>
        </w:rPr>
        <w:t xml:space="preserve"> pronta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, o que contradiria o Valor 2. As duas se equilibram: sem a paciência, o socrático soa arrogante; sem a provocação, o professor vira </w:t>
      </w:r>
      <w:r w:rsidR="00BD425C">
        <w:rPr>
          <w:rFonts w:ascii="Calibri" w:eastAsia="Calibri" w:hAnsi="Calibri" w:cs="Calibri"/>
          <w:color w:val="1F1F1F"/>
          <w:sz w:val="21"/>
          <w:szCs w:val="21"/>
        </w:rPr>
        <w:t>“palestrina”.</w:t>
      </w:r>
    </w:p>
    <w:p w14:paraId="0EC21D8E" w14:textId="77777777" w:rsidR="00563C5C" w:rsidRDefault="00806136">
      <w:pPr>
        <w:pStyle w:val="Ttulo2"/>
        <w:spacing w:before="280" w:after="140"/>
      </w:pPr>
      <w:bookmarkStart w:id="24" w:name="_Toc239254852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7.2 Nível de informalidade</w:t>
      </w:r>
      <w:bookmarkEnd w:id="24"/>
    </w:p>
    <w:p w14:paraId="47F49824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Ironia leve e pontual é permitida e desejável. É o que humaniza o rigor e impede o tom professoral de virar solenidade. Regras:</w:t>
      </w:r>
    </w:p>
    <w:p w14:paraId="0D7D88D4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 ironia recai sobre ideias, práticas e argumentos — nunca sobre pessoas, profissões ou o próprio aluno.</w:t>
      </w:r>
    </w:p>
    <w:p w14:paraId="23F6E823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No máximo um momento irônico por peça. Ironia recorrente vira marca de deboche.</w:t>
      </w:r>
    </w:p>
    <w:p w14:paraId="52344641" w14:textId="5870DDD3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Não se usa </w:t>
      </w:r>
      <w:r w:rsidR="00C06104">
        <w:rPr>
          <w:rFonts w:ascii="Calibri" w:eastAsia="Calibri" w:hAnsi="Calibri" w:cs="Calibri"/>
          <w:color w:val="1F1F1F"/>
          <w:sz w:val="21"/>
          <w:szCs w:val="21"/>
        </w:rPr>
        <w:t xml:space="preserve">recorrentemente </w:t>
      </w:r>
      <w:r>
        <w:rPr>
          <w:rFonts w:ascii="Calibri" w:eastAsia="Calibri" w:hAnsi="Calibri" w:cs="Calibri"/>
          <w:color w:val="1F1F1F"/>
          <w:sz w:val="21"/>
          <w:szCs w:val="21"/>
        </w:rPr>
        <w:t>ironia em material de aula, guia, relatório ou qualquer peça de avaliação.</w:t>
      </w:r>
    </w:p>
    <w:p w14:paraId="3A7806A7" w14:textId="77777777" w:rsidR="00563C5C" w:rsidRDefault="00806136">
      <w:pPr>
        <w:pStyle w:val="Ttulo2"/>
        <w:spacing w:before="280" w:after="140"/>
      </w:pPr>
      <w:bookmarkStart w:id="25" w:name="_Toc239254853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7.3 Princípios de escrita</w:t>
      </w:r>
      <w:bookmarkEnd w:id="25"/>
    </w:p>
    <w:p w14:paraId="29A402BF" w14:textId="7411D6A0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Frase curta</w:t>
      </w:r>
      <w:r w:rsidR="00C06104">
        <w:rPr>
          <w:rFonts w:ascii="Calibri" w:eastAsia="Calibri" w:hAnsi="Calibri" w:cs="Calibri"/>
          <w:color w:val="1F1F1F"/>
          <w:sz w:val="21"/>
          <w:szCs w:val="21"/>
        </w:rPr>
        <w:t xml:space="preserve"> em peça visual. </w:t>
      </w:r>
      <w:r>
        <w:rPr>
          <w:rFonts w:ascii="Calibri" w:eastAsia="Calibri" w:hAnsi="Calibri" w:cs="Calibri"/>
          <w:color w:val="1F1F1F"/>
          <w:sz w:val="21"/>
          <w:szCs w:val="21"/>
        </w:rPr>
        <w:t>Se a frase tem mais de duas vírgulas, quebre em duas.</w:t>
      </w:r>
    </w:p>
    <w:p w14:paraId="140A1735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Todo jargão é definido na primeira aparição, sem pedir desculpa por usá-lo.</w:t>
      </w:r>
    </w:p>
    <w:p w14:paraId="6228FA1C" w14:textId="55B0313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Toda afirmação forte vem com o grau de certeza explícito. </w:t>
      </w:r>
      <w:r w:rsidR="00C06104">
        <w:rPr>
          <w:rFonts w:ascii="Calibri" w:eastAsia="Calibri" w:hAnsi="Calibri" w:cs="Calibri"/>
          <w:color w:val="1F1F1F"/>
          <w:sz w:val="21"/>
          <w:szCs w:val="21"/>
        </w:rPr>
        <w:t>Ex.: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"a evidência atual sugere" quando é isso que a evidência faz</w:t>
      </w:r>
      <w:r w:rsidR="00C06104">
        <w:rPr>
          <w:rFonts w:ascii="Calibri" w:eastAsia="Calibri" w:hAnsi="Calibri" w:cs="Calibri"/>
          <w:color w:val="1F1F1F"/>
          <w:sz w:val="21"/>
          <w:szCs w:val="21"/>
        </w:rPr>
        <w:t xml:space="preserve"> ou “</w:t>
      </w:r>
      <w:r w:rsidR="00514975">
        <w:rPr>
          <w:rFonts w:ascii="Calibri" w:eastAsia="Calibri" w:hAnsi="Calibri" w:cs="Calibri"/>
          <w:color w:val="1F1F1F"/>
          <w:sz w:val="21"/>
          <w:szCs w:val="21"/>
        </w:rPr>
        <w:t>limitando-se nos seguintes aspectos...”.</w:t>
      </w:r>
    </w:p>
    <w:p w14:paraId="590FE44E" w14:textId="395DDAC9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Primeira pessoa do plural em material institucional. </w:t>
      </w:r>
      <w:r w:rsidR="00514975">
        <w:rPr>
          <w:rFonts w:ascii="Calibri" w:eastAsia="Calibri" w:hAnsi="Calibri" w:cs="Calibri"/>
          <w:color w:val="1F1F1F"/>
          <w:sz w:val="21"/>
          <w:szCs w:val="21"/>
        </w:rPr>
        <w:t>Usar o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"eu acho" </w:t>
      </w:r>
      <w:r w:rsidR="00514975">
        <w:rPr>
          <w:rFonts w:ascii="Calibri" w:eastAsia="Calibri" w:hAnsi="Calibri" w:cs="Calibri"/>
          <w:color w:val="1F1F1F"/>
          <w:sz w:val="21"/>
          <w:szCs w:val="21"/>
        </w:rPr>
        <w:t xml:space="preserve">com sabedoria quando partir desse princípio </w:t>
      </w:r>
      <w:r>
        <w:rPr>
          <w:rFonts w:ascii="Calibri" w:eastAsia="Calibri" w:hAnsi="Calibri" w:cs="Calibri"/>
          <w:color w:val="1F1F1F"/>
          <w:sz w:val="21"/>
          <w:szCs w:val="21"/>
        </w:rPr>
        <w:t>em peça publicada.</w:t>
      </w:r>
    </w:p>
    <w:p w14:paraId="51B65FE6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Nada de promessa de resultado. Nada de "transforme", "destrave", "revolucione".</w:t>
      </w:r>
    </w:p>
    <w:p w14:paraId="5C89D30B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Números e magnitudes preferidos a adjetivos. "Reduziu 3 mm Hg" vale mais que "reduziu significativamente".</w:t>
      </w:r>
    </w:p>
    <w:p w14:paraId="2E723AB1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Quando houver incerteza, ela aparece. Esconder limitação é falha de marca, não de estilo.</w:t>
      </w:r>
    </w:p>
    <w:p w14:paraId="6F426F24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texto termina com uma pergunta, uma tarefa ou um próximo passo — coerente com o mentor socrático.</w:t>
      </w:r>
    </w:p>
    <w:p w14:paraId="62AEA5EC" w14:textId="77777777" w:rsidR="00563C5C" w:rsidRDefault="00806136">
      <w:pPr>
        <w:pStyle w:val="Ttulo2"/>
        <w:spacing w:before="280" w:after="140"/>
      </w:pPr>
      <w:bookmarkStart w:id="26" w:name="_Toc239254854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7.4 Faixa de tom por canal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26"/>
        <w:gridCol w:w="2500"/>
      </w:tblGrid>
      <w:tr w:rsidR="00563C5C" w14:paraId="122F9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20338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lastRenderedPageBreak/>
              <w:t>Canal</w:t>
            </w:r>
          </w:p>
        </w:tc>
        <w:tc>
          <w:tcPr>
            <w:tcW w:w="45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50E32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Postura dominante</w:t>
            </w:r>
          </w:p>
        </w:tc>
        <w:tc>
          <w:tcPr>
            <w:tcW w:w="25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DE535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Informalidade</w:t>
            </w:r>
          </w:p>
        </w:tc>
      </w:tr>
      <w:tr w:rsidR="00563C5C" w14:paraId="61897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83679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Post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29A17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Socrático — abre pergunta, provoca leitura</w:t>
            </w:r>
          </w:p>
        </w:tc>
        <w:tc>
          <w:tcPr>
            <w:tcW w:w="2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230527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Ironia permitida (1 por peça)</w:t>
            </w:r>
          </w:p>
        </w:tc>
      </w:tr>
      <w:tr w:rsidR="00563C5C" w14:paraId="282D4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965F5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Blog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D509DE" w14:textId="5233EE83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Professor</w:t>
            </w:r>
            <w:r w:rsidR="00514975">
              <w:rPr>
                <w:rFonts w:ascii="Calibri" w:eastAsia="Calibri" w:hAnsi="Calibri" w:cs="Calibri"/>
                <w:color w:val="1F1F1F"/>
              </w:rPr>
              <w:t>al</w:t>
            </w:r>
            <w:r>
              <w:rPr>
                <w:rFonts w:ascii="Calibri" w:eastAsia="Calibri" w:hAnsi="Calibri" w:cs="Calibri"/>
                <w:color w:val="1F1F1F"/>
              </w:rPr>
              <w:t xml:space="preserve"> — desenvolve e explica</w:t>
            </w:r>
          </w:p>
        </w:tc>
        <w:tc>
          <w:tcPr>
            <w:tcW w:w="2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83B07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Baixa</w:t>
            </w:r>
          </w:p>
        </w:tc>
      </w:tr>
      <w:tr w:rsidR="00563C5C" w14:paraId="41D0B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79960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Newsletter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7EA78D" w14:textId="3020C964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Professor</w:t>
            </w:r>
            <w:r w:rsidR="00514975">
              <w:rPr>
                <w:rFonts w:ascii="Calibri" w:eastAsia="Calibri" w:hAnsi="Calibri" w:cs="Calibri"/>
                <w:color w:val="1F1F1F"/>
              </w:rPr>
              <w:t>al</w:t>
            </w:r>
            <w:r>
              <w:rPr>
                <w:rFonts w:ascii="Calibri" w:eastAsia="Calibri" w:hAnsi="Calibri" w:cs="Calibri"/>
                <w:color w:val="1F1F1F"/>
              </w:rPr>
              <w:t xml:space="preserve"> + socrático — conversa </w:t>
            </w:r>
            <w:r w:rsidR="00514975">
              <w:rPr>
                <w:rFonts w:ascii="Calibri" w:eastAsia="Calibri" w:hAnsi="Calibri" w:cs="Calibri"/>
                <w:color w:val="1F1F1F"/>
              </w:rPr>
              <w:t>aberta</w:t>
            </w:r>
          </w:p>
        </w:tc>
        <w:tc>
          <w:tcPr>
            <w:tcW w:w="2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EE877F" w14:textId="29775C4C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Ironia permitida (</w:t>
            </w:r>
            <w:r w:rsidR="00514975">
              <w:rPr>
                <w:rFonts w:ascii="Calibri" w:eastAsia="Calibri" w:hAnsi="Calibri" w:cs="Calibri"/>
                <w:color w:val="1F1F1F"/>
              </w:rPr>
              <w:t>sem limites claros</w:t>
            </w:r>
            <w:r>
              <w:rPr>
                <w:rFonts w:ascii="Calibri" w:eastAsia="Calibri" w:hAnsi="Calibri" w:cs="Calibri"/>
                <w:color w:val="1F1F1F"/>
              </w:rPr>
              <w:t>)</w:t>
            </w:r>
          </w:p>
        </w:tc>
      </w:tr>
      <w:tr w:rsidR="00563C5C" w14:paraId="7024C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5FC0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Guia de aula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23272F" w14:textId="53DF187E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Professor</w:t>
            </w:r>
            <w:r w:rsidR="00514975">
              <w:rPr>
                <w:rFonts w:ascii="Calibri" w:eastAsia="Calibri" w:hAnsi="Calibri" w:cs="Calibri"/>
                <w:color w:val="1F1F1F"/>
              </w:rPr>
              <w:t>al</w:t>
            </w:r>
            <w:r>
              <w:rPr>
                <w:rFonts w:ascii="Calibri" w:eastAsia="Calibri" w:hAnsi="Calibri" w:cs="Calibri"/>
                <w:color w:val="1F1F1F"/>
              </w:rPr>
              <w:t xml:space="preserve"> — instrucional</w:t>
            </w:r>
          </w:p>
        </w:tc>
        <w:tc>
          <w:tcPr>
            <w:tcW w:w="2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A31336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Nenhuma</w:t>
            </w:r>
          </w:p>
        </w:tc>
      </w:tr>
      <w:tr w:rsidR="00563C5C" w14:paraId="43E77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C00CA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Relatório de aula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C7242B" w14:textId="260F3484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Professor</w:t>
            </w:r>
            <w:r w:rsidR="00514975">
              <w:rPr>
                <w:rFonts w:ascii="Calibri" w:eastAsia="Calibri" w:hAnsi="Calibri" w:cs="Calibri"/>
                <w:color w:val="1F1F1F"/>
              </w:rPr>
              <w:t>al</w:t>
            </w:r>
            <w:r>
              <w:rPr>
                <w:rFonts w:ascii="Calibri" w:eastAsia="Calibri" w:hAnsi="Calibri" w:cs="Calibri"/>
                <w:color w:val="1F1F1F"/>
              </w:rPr>
              <w:t xml:space="preserve"> — registro objetivo</w:t>
            </w:r>
          </w:p>
        </w:tc>
        <w:tc>
          <w:tcPr>
            <w:tcW w:w="2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C356D8" w14:textId="5A556BF2" w:rsidR="00563C5C" w:rsidRDefault="0046766C">
            <w:pPr>
              <w:spacing w:before="60" w:after="60" w:line="280" w:lineRule="auto"/>
            </w:pPr>
            <w:r>
              <w:t>Baixa</w:t>
            </w:r>
          </w:p>
        </w:tc>
      </w:tr>
      <w:tr w:rsidR="00563C5C" w14:paraId="3199EF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1D0D19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Slides</w:t>
            </w:r>
          </w:p>
        </w:tc>
        <w:tc>
          <w:tcPr>
            <w:tcW w:w="45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C4195" w14:textId="29481CFA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Socrático — sustenta a fala</w:t>
            </w:r>
            <w:r w:rsidR="0046766C">
              <w:rPr>
                <w:rFonts w:ascii="Calibri" w:eastAsia="Calibri" w:hAnsi="Calibri" w:cs="Calibri"/>
                <w:color w:val="1F1F1F"/>
              </w:rPr>
              <w:t xml:space="preserve"> e complementa-a, mas</w:t>
            </w:r>
            <w:r>
              <w:rPr>
                <w:rFonts w:ascii="Calibri" w:eastAsia="Calibri" w:hAnsi="Calibri" w:cs="Calibri"/>
                <w:color w:val="1F1F1F"/>
              </w:rPr>
              <w:t xml:space="preserve"> não a substitui</w:t>
            </w:r>
          </w:p>
        </w:tc>
        <w:tc>
          <w:tcPr>
            <w:tcW w:w="2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BCF89A" w14:textId="6A4C97AA" w:rsidR="00563C5C" w:rsidRDefault="0046766C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Baixa</w:t>
            </w:r>
          </w:p>
        </w:tc>
      </w:tr>
    </w:tbl>
    <w:p w14:paraId="7972E901" w14:textId="77777777" w:rsidR="00563C5C" w:rsidRDefault="00563C5C">
      <w:pPr>
        <w:spacing w:after="200"/>
      </w:pPr>
    </w:p>
    <w:p w14:paraId="4861BDEE" w14:textId="77777777" w:rsidR="00563C5C" w:rsidRDefault="00806136">
      <w:pPr>
        <w:pStyle w:val="Ttulo2"/>
        <w:spacing w:before="280" w:after="140"/>
      </w:pPr>
      <w:bookmarkStart w:id="27" w:name="_Toc239254855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7.5 Léxico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63C5C" w14:paraId="51A7E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C022F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Usamos</w:t>
            </w:r>
          </w:p>
        </w:tc>
        <w:tc>
          <w:tcPr>
            <w:tcW w:w="4513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0A067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Evitamos</w:t>
            </w:r>
          </w:p>
        </w:tc>
      </w:tr>
      <w:tr w:rsidR="00563C5C" w14:paraId="48C060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A60A2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evidência, magnitude, incerteza, aplicabilidade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DF2CA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verdade científica, comprovado, cientificamente provado</w:t>
            </w:r>
          </w:p>
        </w:tc>
      </w:tr>
      <w:tr w:rsidR="00563C5C" w14:paraId="65D159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376F7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 evidência sugere / não permite concluir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B7056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estudos mostram que (sem qualificação)</w:t>
            </w:r>
          </w:p>
        </w:tc>
      </w:tr>
      <w:tr w:rsidR="00563C5C" w14:paraId="01E2F0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CF1A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raciocínio, critério, decisão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7FFB9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protocolo, receita, passo a passo definitivo</w:t>
            </w:r>
          </w:p>
        </w:tc>
      </w:tr>
      <w:tr w:rsidR="00563C5C" w14:paraId="22E72E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38C2A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prática, consultório, paciente real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FEF96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transformação, jornada, destravar</w:t>
            </w:r>
          </w:p>
        </w:tc>
      </w:tr>
      <w:tr w:rsidR="00563C5C" w14:paraId="26C645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EAED79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revisar a crença, atualizar a posição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4F13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estava errado e agora está certo</w:t>
            </w:r>
          </w:p>
        </w:tc>
      </w:tr>
    </w:tbl>
    <w:p w14:paraId="1F5A02FC" w14:textId="77777777" w:rsidR="00563C5C" w:rsidRDefault="00563C5C">
      <w:pPr>
        <w:spacing w:after="200"/>
      </w:pPr>
    </w:p>
    <w:p w14:paraId="5B313345" w14:textId="77777777" w:rsidR="00563C5C" w:rsidRDefault="00806136">
      <w:pPr>
        <w:pStyle w:val="Ttulo2"/>
        <w:spacing w:before="280" w:after="140"/>
      </w:pPr>
      <w:bookmarkStart w:id="28" w:name="_Toc239254856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7.6 Proibições</w:t>
      </w:r>
      <w:bookmarkEnd w:id="28"/>
    </w:p>
    <w:p w14:paraId="0988C0F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Discurso motivacional. Promessa de transformação, frase de efeito sem lastro, apelo emocional descolado do conteúdo.</w:t>
      </w:r>
    </w:p>
    <w:p w14:paraId="5E5FE14E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Prova social baseada em resultado de paciente.</w:t>
      </w:r>
    </w:p>
    <w:p w14:paraId="1F5346CD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Ataque nominal a profissionais, marcas ou instituições.</w:t>
      </w:r>
    </w:p>
    <w:p w14:paraId="58CFFBA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Afirmação categórica sobre tema com evidência frágil.</w:t>
      </w:r>
    </w:p>
    <w:p w14:paraId="3DF696C1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Assinatura individual em material público da marca.</w:t>
      </w:r>
    </w:p>
    <w:p w14:paraId="38023677" w14:textId="77777777" w:rsidR="00563C5C" w:rsidRPr="0046766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Uso de conclusão de artigo sem que o racional esteja disponível em algum ponto da peça ou do material de apoio.</w:t>
      </w:r>
    </w:p>
    <w:p w14:paraId="59299CA4" w14:textId="10E8AAA0" w:rsidR="0046766C" w:rsidRDefault="0046766C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lastRenderedPageBreak/>
        <w:t>Arrogância e falta de empatia.</w:t>
      </w:r>
    </w:p>
    <w:p w14:paraId="47F05097" w14:textId="77777777" w:rsidR="00563C5C" w:rsidRDefault="00806136">
      <w:r>
        <w:br w:type="page"/>
      </w:r>
    </w:p>
    <w:p w14:paraId="69509721" w14:textId="77777777" w:rsidR="00563C5C" w:rsidRDefault="00806136">
      <w:pPr>
        <w:pStyle w:val="Ttulo1"/>
        <w:spacing w:before="360" w:after="200"/>
      </w:pPr>
      <w:bookmarkStart w:id="29" w:name="_Toc239254857"/>
      <w:r>
        <w:rPr>
          <w:rFonts w:ascii="Calibri" w:eastAsia="Calibri" w:hAnsi="Calibri" w:cs="Calibri"/>
          <w:b/>
          <w:bCs/>
          <w:color w:val="1F1F1F"/>
        </w:rPr>
        <w:lastRenderedPageBreak/>
        <w:t>8. Identidade visual</w:t>
      </w:r>
      <w:bookmarkEnd w:id="29"/>
    </w:p>
    <w:p w14:paraId="53C2CADE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STATUS: PENDENTE. 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Esta seção está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estruturada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mas não preenchida. Aguarda a definição do design system pelos fundadores. Preencher os campos abaixo antes de produzir qualquer material de alta visibilidade.</w:t>
      </w:r>
    </w:p>
    <w:p w14:paraId="72ED867B" w14:textId="77777777" w:rsidR="00563C5C" w:rsidRDefault="00563C5C">
      <w:pPr>
        <w:spacing w:after="200"/>
      </w:pPr>
    </w:p>
    <w:p w14:paraId="1D4D02BD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Nota estratégica: 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por ser marca independente e circular no mesmo mercado que outras marcas dos fundadores, a identidade visual do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. deve ser deliberadamente distinta delas. Paleta, tipografia e construção de logo próximas às de uma marca vizinha geram confusão e diluem as duas.</w:t>
      </w:r>
    </w:p>
    <w:p w14:paraId="2E6ECF46" w14:textId="77777777" w:rsidR="00563C5C" w:rsidRDefault="00806136">
      <w:pPr>
        <w:pStyle w:val="Ttulo2"/>
        <w:spacing w:before="280" w:after="140"/>
      </w:pPr>
      <w:bookmarkStart w:id="30" w:name="_Toc239254858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8.1 Logomarca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4000"/>
      </w:tblGrid>
      <w:tr w:rsidR="00563C5C" w14:paraId="5F829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12764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Item</w:t>
            </w:r>
          </w:p>
        </w:tc>
        <w:tc>
          <w:tcPr>
            <w:tcW w:w="40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4FCD4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A definir</w:t>
            </w:r>
          </w:p>
        </w:tc>
      </w:tr>
      <w:tr w:rsidR="00563C5C" w14:paraId="089B2B12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DA10A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Versão principal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BEBE66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098C05F5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D0071D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Versões alternativas (horizontal, reduzida, símbolo)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DB882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4086DB1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D3A5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Área de proteção (medida mínima)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44914B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7CA66E4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8FC9F7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Tamanho mínimo de reprodução (impresso e digital)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3BC94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67E7C792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E1850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Aplicação sobre fundo claro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B8C198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676873A4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E026B2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Aplicação sobre fundo escuro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3961C4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5CF71B53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2959C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Versão monocromática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671E03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5A0E7A60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02EE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Formatos de arquivo e onde ficam armazenados</w:t>
            </w:r>
          </w:p>
        </w:tc>
        <w:tc>
          <w:tcPr>
            <w:tcW w:w="4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2F42F" w14:textId="77777777" w:rsidR="00563C5C" w:rsidRDefault="00563C5C">
            <w:pPr>
              <w:spacing w:before="60" w:after="60" w:line="280" w:lineRule="auto"/>
            </w:pPr>
          </w:p>
        </w:tc>
      </w:tr>
    </w:tbl>
    <w:p w14:paraId="7879A3C4" w14:textId="77777777" w:rsidR="00563C5C" w:rsidRDefault="00563C5C">
      <w:pPr>
        <w:spacing w:after="200"/>
      </w:pPr>
    </w:p>
    <w:p w14:paraId="6D8C8FCF" w14:textId="77777777" w:rsidR="00563C5C" w:rsidRDefault="00806136">
      <w:pPr>
        <w:pStyle w:val="Ttulo2"/>
        <w:spacing w:before="280" w:after="140"/>
      </w:pPr>
      <w:bookmarkStart w:id="31" w:name="_Toc239254859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8.2 Paleta de cores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3226"/>
      </w:tblGrid>
      <w:tr w:rsidR="00563C5C" w14:paraId="506DB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5F0E9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Função</w:t>
            </w:r>
          </w:p>
        </w:tc>
        <w:tc>
          <w:tcPr>
            <w:tcW w:w="20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A7E618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Nome</w:t>
            </w:r>
          </w:p>
        </w:tc>
        <w:tc>
          <w:tcPr>
            <w:tcW w:w="16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33238C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HEX</w:t>
            </w:r>
          </w:p>
        </w:tc>
        <w:tc>
          <w:tcPr>
            <w:tcW w:w="32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E7A33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Uso</w:t>
            </w:r>
          </w:p>
        </w:tc>
      </w:tr>
      <w:tr w:rsidR="00563C5C" w14:paraId="6ECA1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224F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Primária</w:t>
            </w:r>
          </w:p>
        </w:tc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4097A7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06DAE7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32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08A5B6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754F0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9BA19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Secundária</w:t>
            </w:r>
          </w:p>
        </w:tc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C53184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096607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32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BE28D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2ACF9B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B55D7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Apoio 1</w:t>
            </w:r>
          </w:p>
        </w:tc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F90155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B4E6D5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32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0841C2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24169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7FDB6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Apoio 2</w:t>
            </w:r>
          </w:p>
        </w:tc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107C52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7E2C55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32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778ADA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6FCB0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F28D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Neutro claro (fundo)</w:t>
            </w:r>
          </w:p>
        </w:tc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7DF3E7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2C92B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32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C782C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33F0D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AF171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lastRenderedPageBreak/>
              <w:t>Neutro escuro (texto)</w:t>
            </w:r>
          </w:p>
        </w:tc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2D7343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BAACF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32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C47607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338A0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AFF27C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Destaque / ação</w:t>
            </w:r>
          </w:p>
        </w:tc>
        <w:tc>
          <w:tcPr>
            <w:tcW w:w="2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65C69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43E80F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32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2A5EF7" w14:textId="77777777" w:rsidR="00563C5C" w:rsidRDefault="00563C5C">
            <w:pPr>
              <w:spacing w:before="60" w:after="60" w:line="280" w:lineRule="auto"/>
            </w:pPr>
          </w:p>
        </w:tc>
      </w:tr>
    </w:tbl>
    <w:p w14:paraId="519DBF5D" w14:textId="77777777" w:rsidR="00563C5C" w:rsidRDefault="00563C5C">
      <w:pPr>
        <w:spacing w:after="200"/>
      </w:pPr>
    </w:p>
    <w:p w14:paraId="2BC33BC3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Definir também: proporção de uso entre as cores, combinações proibidas e contraste mínimo para acessibilidade (referência: WCAG AA, 4,5:1 para texto corrido).</w:t>
      </w:r>
    </w:p>
    <w:p w14:paraId="7BD86DAB" w14:textId="77777777" w:rsidR="00563C5C" w:rsidRDefault="00806136">
      <w:pPr>
        <w:pStyle w:val="Ttulo2"/>
        <w:spacing w:before="280" w:after="140"/>
      </w:pPr>
      <w:bookmarkStart w:id="32" w:name="_Toc239254860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8.3 Tipografia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400"/>
        <w:gridCol w:w="2626"/>
      </w:tblGrid>
      <w:tr w:rsidR="00563C5C" w14:paraId="56F05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F4446A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Função</w:t>
            </w:r>
          </w:p>
        </w:tc>
        <w:tc>
          <w:tcPr>
            <w:tcW w:w="24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F163C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Família</w:t>
            </w:r>
          </w:p>
        </w:tc>
        <w:tc>
          <w:tcPr>
            <w:tcW w:w="14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8CEDBC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Peso</w:t>
            </w:r>
          </w:p>
        </w:tc>
        <w:tc>
          <w:tcPr>
            <w:tcW w:w="26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88FA1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Uso</w:t>
            </w:r>
          </w:p>
        </w:tc>
      </w:tr>
      <w:tr w:rsidR="00563C5C" w14:paraId="38C86D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78BD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Títulos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7C3755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38043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2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3C4FA7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3ED166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29D4F2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Subtítulos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DB48F0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8A1726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2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A6DF4E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06BF5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4DEC2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Texto corrido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68F0F5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F08C40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2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4121ED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018C3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DA954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Legenda / nota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D29E4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D0816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2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0C224A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7E1CA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83964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Substituta de sistema (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fallback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>)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8701E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6203CB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26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3854DF" w14:textId="77777777" w:rsidR="00563C5C" w:rsidRDefault="00563C5C">
            <w:pPr>
              <w:spacing w:before="60" w:after="60" w:line="280" w:lineRule="auto"/>
            </w:pPr>
          </w:p>
        </w:tc>
      </w:tr>
    </w:tbl>
    <w:p w14:paraId="2C0561E9" w14:textId="77777777" w:rsidR="00563C5C" w:rsidRDefault="00563C5C">
      <w:pPr>
        <w:spacing w:after="200"/>
      </w:pPr>
    </w:p>
    <w:p w14:paraId="6589F5A5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6B6B6B"/>
        </w:rPr>
        <w:t>Definir também: escala tipográfica, entrelinha padrão e alinhamento padrão para cada formato.</w:t>
      </w:r>
    </w:p>
    <w:p w14:paraId="78A19826" w14:textId="77777777" w:rsidR="00563C5C" w:rsidRDefault="00806136">
      <w:pPr>
        <w:pStyle w:val="Ttulo2"/>
        <w:spacing w:before="280" w:after="140"/>
      </w:pPr>
      <w:bookmarkStart w:id="33" w:name="_Toc239254861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8.4 Elementos de apoio</w:t>
      </w:r>
      <w:bookmarkEnd w:id="33"/>
    </w:p>
    <w:p w14:paraId="6A56E882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Grafismo ou elemento gráfico recorrente — a definir.</w:t>
      </w:r>
    </w:p>
    <w:p w14:paraId="2322A310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Tratamento de imagem e fotografia — a definir.</w:t>
      </w:r>
    </w:p>
    <w:p w14:paraId="02D65C81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Estilo de ícones e de gráficos de dados — a definir.</w:t>
      </w:r>
    </w:p>
    <w:p w14:paraId="74A78379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Padrão de citação visual de referências bibliográficas em peças — a definir.</w:t>
      </w:r>
    </w:p>
    <w:p w14:paraId="596BA528" w14:textId="77777777" w:rsidR="00563C5C" w:rsidRDefault="00806136">
      <w:pPr>
        <w:pStyle w:val="Ttulo2"/>
        <w:spacing w:before="280" w:after="140"/>
      </w:pPr>
      <w:bookmarkStart w:id="34" w:name="_Toc239254862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8.5 Usos proibidos</w:t>
      </w:r>
      <w:bookmarkEnd w:id="34"/>
    </w:p>
    <w:p w14:paraId="11ABC507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A preencher junto com a logomarca. Lista mínima a cobrir: distorção de proporção, alteração de cor, aplicação sobre fundo de baixo contraste, adição de sombra ou contorno, rotação, uso do símbolo como padrão de fundo, recriação manual do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lettering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.</w:t>
      </w:r>
    </w:p>
    <w:p w14:paraId="05B25AB0" w14:textId="77777777" w:rsidR="00563C5C" w:rsidRDefault="00806136">
      <w:r>
        <w:br w:type="page"/>
      </w:r>
    </w:p>
    <w:p w14:paraId="264DCDCF" w14:textId="77777777" w:rsidR="00563C5C" w:rsidRDefault="00806136">
      <w:pPr>
        <w:pStyle w:val="Ttulo1"/>
        <w:spacing w:before="360" w:after="200"/>
      </w:pPr>
      <w:bookmarkStart w:id="35" w:name="_Toc239254863"/>
      <w:r>
        <w:rPr>
          <w:rFonts w:ascii="Calibri" w:eastAsia="Calibri" w:hAnsi="Calibri" w:cs="Calibri"/>
          <w:b/>
          <w:bCs/>
          <w:color w:val="1F1F1F"/>
        </w:rPr>
        <w:lastRenderedPageBreak/>
        <w:t>9. Regras de composição</w:t>
      </w:r>
      <w:bookmarkEnd w:id="35"/>
    </w:p>
    <w:p w14:paraId="11DD36B3" w14:textId="77777777" w:rsidR="00563C5C" w:rsidRDefault="00806136">
      <w:pPr>
        <w:pStyle w:val="Ttulo2"/>
        <w:spacing w:before="280" w:after="140"/>
      </w:pPr>
      <w:bookmarkStart w:id="36" w:name="_Toc239254864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9.1 Princípios comuns a todos os formatos</w:t>
      </w:r>
      <w:bookmarkEnd w:id="36"/>
    </w:p>
    <w:p w14:paraId="6E8822DA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Toda peça pertence a um pilar (seção 5) e a um território (seção 6). Se não pertence, não é publicada.</w:t>
      </w:r>
    </w:p>
    <w:p w14:paraId="77ADFD61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Toda afirmação técnica tem fonte rastreável, ainda que a referência não apareça na peça.</w:t>
      </w:r>
    </w:p>
    <w:p w14:paraId="68DE5990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Nenhuma peça entrega conduta pronta sem o racional que a sustenta.</w:t>
      </w:r>
    </w:p>
    <w:p w14:paraId="351ED5BC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Toda peça termina com pergunta, tarefa ou próximo passo.</w:t>
      </w:r>
    </w:p>
    <w:p w14:paraId="7AFA60C4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Nenhuma peça é assinada individualmente.</w:t>
      </w:r>
    </w:p>
    <w:p w14:paraId="725F2660" w14:textId="77777777" w:rsidR="00563C5C" w:rsidRDefault="00563C5C">
      <w:pPr>
        <w:spacing w:after="200"/>
      </w:pPr>
    </w:p>
    <w:p w14:paraId="475035B9" w14:textId="77777777" w:rsidR="00563C5C" w:rsidRDefault="00806136">
      <w:pPr>
        <w:pStyle w:val="Ttulo2"/>
        <w:spacing w:before="280" w:after="140"/>
      </w:pPr>
      <w:bookmarkStart w:id="37" w:name="_Toc239254865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9.2 Posts</w:t>
      </w:r>
      <w:bookmarkEnd w:id="37"/>
    </w:p>
    <w:p w14:paraId="6B29D5FE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Função</w:t>
      </w:r>
    </w:p>
    <w:p w14:paraId="3F035EAB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Abrir o raciocínio e gerar identificação. O post não esgota o tema; ele expõe a lacuna que a formação preenche.</w:t>
      </w:r>
    </w:p>
    <w:p w14:paraId="7F53A773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Estrutura</w:t>
      </w:r>
    </w:p>
    <w:p w14:paraId="474BE51B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Abertura: uma pergunta ou uma afirmação comum do mercado que será examinada. Máximo duas linhas.</w:t>
      </w:r>
    </w:p>
    <w:p w14:paraId="45A12017" w14:textId="693544E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Desenvolvimento: o racional, em passos curtos. Um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raciocínio por peça, nunca dois.</w:t>
      </w:r>
    </w:p>
    <w:p w14:paraId="5158DFAE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Fechamento: a pergunta devolvida ao leitor ou o próximo passo.</w:t>
      </w:r>
    </w:p>
    <w:p w14:paraId="598A016F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Regras</w:t>
      </w:r>
    </w:p>
    <w:p w14:paraId="1E65D665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Uma ideia por post. Se há duas, são dois posts.</w:t>
      </w:r>
    </w:p>
    <w:p w14:paraId="43DE96B7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Legenda de 600 a 1.200 caracteres para post de racional; até 300 para post de provocação.</w:t>
      </w:r>
    </w:p>
    <w:p w14:paraId="4D48C2E5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Jargão explicado na própria peça, sem remeter a outro conteúdo.</w:t>
      </w:r>
    </w:p>
    <w:p w14:paraId="7B69B1E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Sem números de resultado de paciente, sem antes e depois, sem depoimento de conduta.</w:t>
      </w:r>
    </w:p>
    <w:p w14:paraId="20DB5F56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Chamada para ação no máximo em uma a cada três peças.</w:t>
      </w:r>
    </w:p>
    <w:p w14:paraId="1AE52D5A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Não fazer</w:t>
      </w:r>
    </w:p>
    <w:p w14:paraId="650997A1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Carrossel que apresenta conclusão de estudo sem o racional de interpretação.</w:t>
      </w:r>
    </w:p>
    <w:p w14:paraId="3C0AF5B2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Título que promete resultado ("o que ninguém te conta sobre...").</w:t>
      </w:r>
    </w:p>
    <w:p w14:paraId="0B809152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Ironia sobre pessoas ou categorias profissionais.</w:t>
      </w:r>
    </w:p>
    <w:p w14:paraId="5E53C098" w14:textId="77777777" w:rsidR="00563C5C" w:rsidRDefault="00563C5C">
      <w:pPr>
        <w:spacing w:after="200"/>
      </w:pPr>
    </w:p>
    <w:p w14:paraId="4E105DD6" w14:textId="77777777" w:rsidR="00563C5C" w:rsidRDefault="00806136">
      <w:pPr>
        <w:pStyle w:val="Ttulo2"/>
        <w:spacing w:before="280" w:after="140"/>
      </w:pPr>
      <w:bookmarkStart w:id="38" w:name="_Toc239254866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9.3 Textos de blog</w:t>
      </w:r>
      <w:bookmarkEnd w:id="38"/>
    </w:p>
    <w:p w14:paraId="64ECB3AE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Função</w:t>
      </w:r>
    </w:p>
    <w:p w14:paraId="67B60B5A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Aprofundar um raciocínio com espaço para nuance e referência. É o formato de autoridade técnica e de busca orgânica.</w:t>
      </w:r>
    </w:p>
    <w:p w14:paraId="4DDE602C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lastRenderedPageBreak/>
        <w:t>Estrutura</w:t>
      </w:r>
    </w:p>
    <w:p w14:paraId="671C6813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Título: descreve o raciocínio, não promete resultado.</w:t>
      </w:r>
    </w:p>
    <w:p w14:paraId="47D196EA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Abertura (1 a 2 parágrafos): a pergunta clínica ou o problema de interpretação.</w:t>
      </w:r>
    </w:p>
    <w:p w14:paraId="4E976C11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Contexto: o que se costuma afirmar sobre o tema e de onde vem essa afirmação.</w:t>
      </w:r>
    </w:p>
    <w:p w14:paraId="2219B8F2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Desenvolvimento: a análise, com desenho de estudo, desfecho, magnitude e limitações explicitados.</w:t>
      </w:r>
    </w:p>
    <w:p w14:paraId="4FD8DD8D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Transitividade: o que isso significa (e o que não significa) para o paciente real.</w:t>
      </w:r>
    </w:p>
    <w:p w14:paraId="4DB8488F" w14:textId="77777777" w:rsidR="00563C5C" w:rsidRPr="00725632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Fechamento: síntese honesta, incluindo o que permanece incerto.</w:t>
      </w:r>
    </w:p>
    <w:p w14:paraId="28C17DFF" w14:textId="59BCA238" w:rsidR="00725632" w:rsidRDefault="00725632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Adequação para SEO.</w:t>
      </w:r>
    </w:p>
    <w:p w14:paraId="31C463BA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Referências ao final, em formato padronizado.</w:t>
      </w:r>
    </w:p>
    <w:p w14:paraId="56329EE0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Regras</w:t>
      </w:r>
    </w:p>
    <w:p w14:paraId="6F05DC13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Extensão de 1.200 a 2.500 palavras.</w:t>
      </w:r>
    </w:p>
    <w:p w14:paraId="4ED8C9E6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Subtítulos a cada 300 a 400 palavras.</w:t>
      </w:r>
    </w:p>
    <w:p w14:paraId="6DC66647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Mínimo de três referências primárias verificáveis.</w:t>
      </w:r>
    </w:p>
    <w:p w14:paraId="6F4E96F2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Toda limitação metodológica relevante aparece no texto, não em nota de rodapé.</w:t>
      </w:r>
    </w:p>
    <w:p w14:paraId="3501A3FF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Nenhum texto termina com certeza maior do que a evidência sustenta.</w:t>
      </w:r>
    </w:p>
    <w:p w14:paraId="1AFD3EA3" w14:textId="77777777" w:rsidR="00563C5C" w:rsidRDefault="00563C5C">
      <w:pPr>
        <w:spacing w:after="200"/>
      </w:pPr>
    </w:p>
    <w:p w14:paraId="0058B442" w14:textId="77777777" w:rsidR="00563C5C" w:rsidRDefault="00806136">
      <w:pPr>
        <w:pStyle w:val="Ttulo2"/>
        <w:spacing w:before="280" w:after="140"/>
      </w:pPr>
      <w:bookmarkStart w:id="39" w:name="_Toc239254867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9.4 Newsletter</w:t>
      </w:r>
      <w:bookmarkEnd w:id="39"/>
    </w:p>
    <w:p w14:paraId="6607EE90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Função</w:t>
      </w:r>
    </w:p>
    <w:p w14:paraId="5957F90F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Manter relação contínua e mostrar o pensamento em movimento. É o canal mais próximo da voz socrática, porque conversa em vez de publicar.</w:t>
      </w:r>
    </w:p>
    <w:p w14:paraId="1EFA8825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Estrutura padrão</w:t>
      </w:r>
    </w:p>
    <w:p w14:paraId="0C45C92A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Assunto: concreto e sem sensacionalismo. Máximo 60 caracteres.</w:t>
      </w:r>
    </w:p>
    <w:p w14:paraId="6C42FBF0" w14:textId="4168B0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Abertura: uma situação, pergunta ou observação real. Dois a três parágrafos curtos</w:t>
      </w:r>
      <w:r w:rsidR="00725632">
        <w:rPr>
          <w:rFonts w:ascii="Calibri" w:eastAsia="Calibri" w:hAnsi="Calibri" w:cs="Calibri"/>
          <w:color w:val="1F1F1F"/>
          <w:sz w:val="21"/>
          <w:szCs w:val="21"/>
        </w:rPr>
        <w:t xml:space="preserve"> que geram contexto</w:t>
      </w:r>
      <w:r>
        <w:rPr>
          <w:rFonts w:ascii="Calibri" w:eastAsia="Calibri" w:hAnsi="Calibri" w:cs="Calibri"/>
          <w:color w:val="1F1F1F"/>
          <w:sz w:val="21"/>
          <w:szCs w:val="21"/>
        </w:rPr>
        <w:t>.</w:t>
      </w:r>
    </w:p>
    <w:p w14:paraId="60C8226B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Núcleo: um raciocínio destrinchado — o conteúdo principal da edição.</w:t>
      </w:r>
    </w:p>
    <w:p w14:paraId="78DD42DA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Aplicação: o que fazer com isso na próxima semana de consultório.</w:t>
      </w:r>
    </w:p>
    <w:p w14:paraId="5B5A992F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Fechamento: pergunta ao leitor ou convite a responder o e-mail.</w:t>
      </w:r>
    </w:p>
    <w:p w14:paraId="3DB380CF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Rodapé fixo: identificação da marca, gestão de inscrição, link para a formação.</w:t>
      </w:r>
    </w:p>
    <w:p w14:paraId="2A614BC9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Regras</w:t>
      </w:r>
    </w:p>
    <w:p w14:paraId="71A5158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Um tema por edição.</w:t>
      </w:r>
    </w:p>
    <w:p w14:paraId="65383FD3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Extensão de 600 a 1.200 palavras.</w:t>
      </w:r>
    </w:p>
    <w:p w14:paraId="39F562AF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Periodicidade fixa e anunciada. Frequência irregular custa mais que frequência baixa.</w:t>
      </w:r>
    </w:p>
    <w:p w14:paraId="15D7B608" w14:textId="19064406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No máximo uma oferta a cada </w:t>
      </w:r>
      <w:r w:rsidR="00725632">
        <w:rPr>
          <w:rFonts w:ascii="Calibri" w:eastAsia="Calibri" w:hAnsi="Calibri" w:cs="Calibri"/>
          <w:color w:val="1F1F1F"/>
          <w:sz w:val="21"/>
          <w:szCs w:val="21"/>
        </w:rPr>
        <w:t>duas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edições</w:t>
      </w:r>
      <w:r w:rsidR="00725632">
        <w:rPr>
          <w:rFonts w:ascii="Calibri" w:eastAsia="Calibri" w:hAnsi="Calibri" w:cs="Calibri"/>
          <w:color w:val="1F1F1F"/>
          <w:sz w:val="21"/>
          <w:szCs w:val="21"/>
        </w:rPr>
        <w:t>, sempre em paralelo à trilha principal.</w:t>
      </w:r>
    </w:p>
    <w:p w14:paraId="0F6F1E4F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lastRenderedPageBreak/>
        <w:t xml:space="preserve">A newsletter é própria do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Interprete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. —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não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replica conteúdo de outra marca dos fundadores.</w:t>
      </w:r>
    </w:p>
    <w:p w14:paraId="34EA8887" w14:textId="77777777" w:rsidR="00563C5C" w:rsidRDefault="00563C5C">
      <w:pPr>
        <w:spacing w:after="200"/>
      </w:pPr>
    </w:p>
    <w:p w14:paraId="248475FE" w14:textId="77777777" w:rsidR="00563C5C" w:rsidRDefault="00806136">
      <w:pPr>
        <w:pStyle w:val="Ttulo2"/>
        <w:spacing w:before="280" w:after="140"/>
      </w:pPr>
      <w:bookmarkStart w:id="40" w:name="_Toc239254868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9.5 Guia de aula</w:t>
      </w:r>
      <w:bookmarkEnd w:id="40"/>
    </w:p>
    <w:p w14:paraId="08AF47AD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Função</w:t>
      </w:r>
    </w:p>
    <w:p w14:paraId="475D6661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Documento entregue ao aluno antes do encontro síncrono. Existe para garantir o Valor 4: o aluno chega preparado. Sem guia enviado com antecedência, a aula perde o método.</w:t>
      </w:r>
    </w:p>
    <w:p w14:paraId="652D695C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Estrutura obrigatória</w:t>
      </w:r>
    </w:p>
    <w:p w14:paraId="1A2FCB43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Identificação: título da aula, módulo, data, duração prevista.</w:t>
      </w:r>
    </w:p>
    <w:p w14:paraId="36957ED7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Objetivos de aprendizagem: de três a cinco, redigidos como capacidade observável ("ao fim desta aula você será capaz de...").</w:t>
      </w:r>
    </w:p>
    <w:p w14:paraId="202FCC1C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Pergunta condutora: a pergunta que a aula responde. Uma só.</w:t>
      </w:r>
    </w:p>
    <w:p w14:paraId="64B60504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Leitura prévia obrigatória: referências completas, com indicação do que observar em cada uma.</w:t>
      </w:r>
    </w:p>
    <w:p w14:paraId="35EB6928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Leitura complementar: opcional, claramente separada da obrigatória.</w:t>
      </w:r>
    </w:p>
    <w:p w14:paraId="232E034B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Glossário: termos técnicos que aparecerão, definidos antes.</w:t>
      </w:r>
    </w:p>
    <w:p w14:paraId="37410CF8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Tarefa de aquecimento: exercício curto a ser feito antes do encontro.</w:t>
      </w:r>
    </w:p>
    <w:p w14:paraId="559B4CD3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Espaço para dúvidas: campo em que o aluno registra o que trará ao encontro.</w:t>
      </w:r>
    </w:p>
    <w:p w14:paraId="41DF2679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Regras</w:t>
      </w:r>
    </w:p>
    <w:p w14:paraId="28D3D869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Enviado com no mínimo 72 horas de antecedência.</w:t>
      </w:r>
    </w:p>
    <w:p w14:paraId="6221EF90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Leitura prévia obrigatória limitada ao que é realizável no prazo — em regra, um a dois artigos.</w:t>
      </w:r>
    </w:p>
    <w:p w14:paraId="4AF042B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Sem ironia e sem linguagem coloquial.</w:t>
      </w:r>
    </w:p>
    <w:p w14:paraId="7E3CA41F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guia nunca antecipa a conclusão da aula. Ele prepara a pergunta, não entrega a resposta.</w:t>
      </w:r>
    </w:p>
    <w:p w14:paraId="77712F32" w14:textId="77777777" w:rsidR="00563C5C" w:rsidRDefault="00563C5C">
      <w:pPr>
        <w:spacing w:after="200"/>
      </w:pPr>
    </w:p>
    <w:p w14:paraId="4C2C8D9F" w14:textId="77777777" w:rsidR="00563C5C" w:rsidRDefault="00806136">
      <w:pPr>
        <w:pStyle w:val="Ttulo2"/>
        <w:spacing w:before="280" w:after="140"/>
      </w:pPr>
      <w:bookmarkStart w:id="41" w:name="_Toc239254869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9.6 Relatório de aula</w:t>
      </w:r>
      <w:bookmarkEnd w:id="41"/>
    </w:p>
    <w:p w14:paraId="6441DB5C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Função</w:t>
      </w:r>
    </w:p>
    <w:p w14:paraId="4D894704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Registro do que foi discutido e do que ficou pendente, enviado após o encontro. Sustenta o feedback de evolução e dá continuidade entre encontros.</w:t>
      </w:r>
    </w:p>
    <w:p w14:paraId="26764231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Estrutura obrigatória</w:t>
      </w:r>
    </w:p>
    <w:p w14:paraId="21D60E32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Identificação: aula, data, participantes presentes.</w:t>
      </w:r>
    </w:p>
    <w:p w14:paraId="2BEB5714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Síntese do raciocínio construído: o caminho percorrido, não apenas a conclusão.</w:t>
      </w:r>
    </w:p>
    <w:p w14:paraId="7E78559B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Pontos de divergência: onde o grupo discordou e por quê. Registrar divergência não resolvida é obrigatório.</w:t>
      </w:r>
    </w:p>
    <w:p w14:paraId="6979161D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Dúvidas em aberto: o que ficou sem resposta e o que será necessário para respondê-la.</w:t>
      </w:r>
    </w:p>
    <w:p w14:paraId="65524BA5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Crenças revisadas: o que o grupo — ou quem conduziu — passou a ver de outro modo (Valor 3).</w:t>
      </w:r>
    </w:p>
    <w:p w14:paraId="212CF579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lastRenderedPageBreak/>
        <w:t>Encaminhamentos: tarefas, leituras e prazos até o próximo encontro.</w:t>
      </w:r>
    </w:p>
    <w:p w14:paraId="54D1F873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Referências utilizadas na aula.</w:t>
      </w:r>
    </w:p>
    <w:p w14:paraId="16353749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Regras</w:t>
      </w:r>
    </w:p>
    <w:p w14:paraId="1296A764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Enviado em até 72 horas após o encontro.</w:t>
      </w:r>
    </w:p>
    <w:p w14:paraId="38A05FD3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Registro objetivo, sem juízo sobre desempenho individual em documento coletivo.</w:t>
      </w:r>
    </w:p>
    <w:p w14:paraId="7B88F9D7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Feedback individual, quando houver, é documento separado.</w:t>
      </w:r>
    </w:p>
    <w:p w14:paraId="50E5A54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O relatório não corrige o que foi dito em aula sem sinalizar a correção de forma explícita.</w:t>
      </w:r>
    </w:p>
    <w:p w14:paraId="1502EF36" w14:textId="77777777" w:rsidR="00563C5C" w:rsidRDefault="00563C5C">
      <w:pPr>
        <w:spacing w:after="200"/>
      </w:pPr>
    </w:p>
    <w:p w14:paraId="2C9FB09A" w14:textId="77777777" w:rsidR="00563C5C" w:rsidRDefault="00806136">
      <w:pPr>
        <w:pStyle w:val="Ttulo2"/>
        <w:spacing w:before="280" w:after="140"/>
      </w:pPr>
      <w:bookmarkStart w:id="42" w:name="_Toc239254870"/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>9.7 Slides de aula</w:t>
      </w:r>
      <w:bookmarkEnd w:id="42"/>
    </w:p>
    <w:p w14:paraId="0546D073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Função</w:t>
      </w:r>
    </w:p>
    <w:p w14:paraId="08B790B7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Sustentar a fala, nunca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substituí-la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>. Slide que pode ser lido sozinho é apostila, e apostila contradiz o formato síncrono.</w:t>
      </w:r>
    </w:p>
    <w:p w14:paraId="05377428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Estrutura da apresentação</w:t>
      </w:r>
    </w:p>
    <w:p w14:paraId="3B6FD46F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Abertura: pergunta condutora da aula, isolada em um slide.</w:t>
      </w:r>
    </w:p>
    <w:p w14:paraId="4C357F1D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Mapa: o percurso do encontro, em três a cinco etapas.</w:t>
      </w:r>
    </w:p>
    <w:p w14:paraId="3B5A5EBE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Desenvolvimento: um slide por ideia.</w:t>
      </w:r>
    </w:p>
    <w:p w14:paraId="14F16562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Slides de evidência: dados apresentados com desenho, população, desfecho e magnitude visíveis.</w:t>
      </w:r>
    </w:p>
    <w:p w14:paraId="0BCB2996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Slides de provocação: pergunta em tela para discussão do grupo.</w:t>
      </w:r>
    </w:p>
    <w:p w14:paraId="0C070FD3" w14:textId="77777777" w:rsidR="00563C5C" w:rsidRDefault="00806136">
      <w:pPr>
        <w:pStyle w:val="PargrafodaLista"/>
        <w:numPr>
          <w:ilvl w:val="0"/>
          <w:numId w:val="3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Fechamento: o que ficou em aberto, não uma lista de conclusões.</w:t>
      </w:r>
    </w:p>
    <w:p w14:paraId="05F6CB33" w14:textId="77777777" w:rsidR="00563C5C" w:rsidRDefault="00806136">
      <w:pPr>
        <w:pStyle w:val="Ttulo3"/>
        <w:spacing w:before="220" w:after="100"/>
      </w:pPr>
      <w:r>
        <w:rPr>
          <w:rFonts w:ascii="Calibri" w:eastAsia="Calibri" w:hAnsi="Calibri" w:cs="Calibri"/>
          <w:b/>
          <w:bCs/>
          <w:color w:val="6B6B6B"/>
          <w:sz w:val="22"/>
          <w:szCs w:val="22"/>
        </w:rPr>
        <w:t>Regras de composição</w:t>
      </w:r>
    </w:p>
    <w:p w14:paraId="67DE2A2F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Máximo de 30 palavras por slide.</w:t>
      </w:r>
    </w:p>
    <w:p w14:paraId="510531ED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Uma ideia por slide, sem exceção.</w:t>
      </w:r>
    </w:p>
    <w:p w14:paraId="4F593DAB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Nenhum slide apresenta conclusão de estudo sem que desenho e limitação apareçam na mesma sequência.</w:t>
      </w:r>
    </w:p>
    <w:p w14:paraId="2D9FAA88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Gráfico sempre com eixo rotulado, unidade e fonte visíveis.</w:t>
      </w:r>
    </w:p>
    <w:p w14:paraId="615DDBF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Imagem só entra se carregar informação; não se usa imagem decorativa.</w:t>
      </w:r>
    </w:p>
    <w:p w14:paraId="68CCE4FA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Referência completa no rodapé do slide em que o dado aparece.</w:t>
      </w:r>
    </w:p>
    <w:p w14:paraId="17793EE3" w14:textId="77777777" w:rsidR="00563C5C" w:rsidRDefault="00806136">
      <w:pPr>
        <w:pStyle w:val="PargrafodaLista"/>
        <w:numPr>
          <w:ilvl w:val="0"/>
          <w:numId w:val="2"/>
        </w:numPr>
        <w:spacing w:after="9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Sem animação de transição, sem ironia, sem meme.</w:t>
      </w:r>
    </w:p>
    <w:p w14:paraId="216E4BCE" w14:textId="77777777" w:rsidR="00563C5C" w:rsidRDefault="00806136">
      <w:r>
        <w:br w:type="page"/>
      </w:r>
    </w:p>
    <w:p w14:paraId="1F5EE04D" w14:textId="77777777" w:rsidR="00563C5C" w:rsidRDefault="00806136">
      <w:pPr>
        <w:pStyle w:val="Ttulo1"/>
        <w:spacing w:before="360" w:after="200"/>
      </w:pPr>
      <w:bookmarkStart w:id="43" w:name="_Toc239254871"/>
      <w:r>
        <w:rPr>
          <w:rFonts w:ascii="Calibri" w:eastAsia="Calibri" w:hAnsi="Calibri" w:cs="Calibri"/>
          <w:b/>
          <w:bCs/>
          <w:color w:val="1F1F1F"/>
        </w:rPr>
        <w:lastRenderedPageBreak/>
        <w:t>10. Checklist de aprovação</w:t>
      </w:r>
      <w:bookmarkEnd w:id="43"/>
    </w:p>
    <w:p w14:paraId="15CFA1DF" w14:textId="77777777" w:rsidR="00563C5C" w:rsidRDefault="00806136">
      <w:pPr>
        <w:spacing w:after="140" w:line="300" w:lineRule="auto"/>
      </w:pPr>
      <w:r>
        <w:rPr>
          <w:rFonts w:ascii="Calibri" w:eastAsia="Calibri" w:hAnsi="Calibri" w:cs="Calibri"/>
          <w:color w:val="1F1F1F"/>
          <w:sz w:val="21"/>
          <w:szCs w:val="21"/>
        </w:rPr>
        <w:t>Aplicável a toda peça antes da publicação ou do envio. Qualquer resposta negativa impede a publicação.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563C5C" w14:paraId="629CA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81AED1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#</w:t>
            </w:r>
          </w:p>
        </w:tc>
        <w:tc>
          <w:tcPr>
            <w:tcW w:w="83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1C7AB7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Verificação</w:t>
            </w:r>
          </w:p>
        </w:tc>
      </w:tr>
      <w:tr w:rsidR="00563C5C" w14:paraId="4B8E21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1EC15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1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EC97F2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 peça pertence a um pilar e a um território identificáveis?</w:t>
            </w:r>
          </w:p>
        </w:tc>
      </w:tr>
      <w:tr w:rsidR="00563C5C" w14:paraId="52D39D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B6F4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2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D9C7D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Toda afirmação técnica tem fonte rastreável?</w:t>
            </w:r>
          </w:p>
        </w:tc>
      </w:tr>
      <w:tr w:rsidR="00563C5C" w14:paraId="763F37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5C8B5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3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5B6BB1" w14:textId="70344EE1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O racional está exposto</w:t>
            </w:r>
            <w:r w:rsidR="00725632"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  <w:color w:val="1F1F1F"/>
              </w:rPr>
              <w:t>e não apenas a conclusão?</w:t>
            </w:r>
          </w:p>
        </w:tc>
      </w:tr>
      <w:tr w:rsidR="00563C5C" w14:paraId="6F1F91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384754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4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1545B1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O grau de certeza está explícito onde a evidência é limitada?</w:t>
            </w:r>
          </w:p>
        </w:tc>
      </w:tr>
      <w:tr w:rsidR="00563C5C" w14:paraId="15B513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F4B2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5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640233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Todo jargão foi definido na primeira aparição?</w:t>
            </w:r>
          </w:p>
        </w:tc>
      </w:tr>
      <w:tr w:rsidR="00563C5C" w14:paraId="6E0E32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C85ECD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6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E9C3ED" w14:textId="21C311D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 peça está livre de promessa de resultado</w:t>
            </w:r>
            <w:r>
              <w:rPr>
                <w:rFonts w:ascii="Calibri" w:eastAsia="Calibri" w:hAnsi="Calibri" w:cs="Calibri"/>
                <w:color w:val="1F1F1F"/>
              </w:rPr>
              <w:t>?</w:t>
            </w:r>
          </w:p>
        </w:tc>
      </w:tr>
      <w:tr w:rsidR="00563C5C" w14:paraId="14AE5E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BB70B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7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E0E497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 ironia, se houver, recai sobre ideias e aparece uma única vez?</w:t>
            </w:r>
          </w:p>
        </w:tc>
      </w:tr>
      <w:tr w:rsidR="00563C5C" w14:paraId="4A7AAF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60D992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8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76000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A peça está livre de assinatura individual?</w:t>
            </w:r>
          </w:p>
        </w:tc>
      </w:tr>
      <w:tr w:rsidR="00563C5C" w14:paraId="45DA22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9A5FC9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9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98899" w14:textId="1C019155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 xml:space="preserve">A peça termina com pergunta, </w:t>
            </w:r>
            <w:r w:rsidR="00725632">
              <w:rPr>
                <w:rFonts w:ascii="Calibri" w:eastAsia="Calibri" w:hAnsi="Calibri" w:cs="Calibri"/>
                <w:color w:val="1F1F1F"/>
              </w:rPr>
              <w:t>ação/</w:t>
            </w:r>
            <w:r>
              <w:rPr>
                <w:rFonts w:ascii="Calibri" w:eastAsia="Calibri" w:hAnsi="Calibri" w:cs="Calibri"/>
                <w:color w:val="1F1F1F"/>
              </w:rPr>
              <w:t>tarefa ou próximo passo?</w:t>
            </w:r>
          </w:p>
        </w:tc>
      </w:tr>
      <w:tr w:rsidR="00563C5C" w14:paraId="1A86F6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6E8A05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10</w:t>
            </w:r>
          </w:p>
        </w:tc>
        <w:tc>
          <w:tcPr>
            <w:tcW w:w="83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B1C95F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Foi revisada por quem não a escreveu?</w:t>
            </w:r>
          </w:p>
        </w:tc>
      </w:tr>
    </w:tbl>
    <w:p w14:paraId="46999DC5" w14:textId="77777777" w:rsidR="00563C5C" w:rsidRDefault="00806136">
      <w:r>
        <w:br w:type="page"/>
      </w:r>
    </w:p>
    <w:p w14:paraId="0E467AFE" w14:textId="77777777" w:rsidR="00563C5C" w:rsidRDefault="00806136">
      <w:pPr>
        <w:pStyle w:val="Ttulo1"/>
        <w:spacing w:before="360" w:after="200"/>
      </w:pPr>
      <w:bookmarkStart w:id="44" w:name="_Toc239254872"/>
      <w:r>
        <w:rPr>
          <w:rFonts w:ascii="Calibri" w:eastAsia="Calibri" w:hAnsi="Calibri" w:cs="Calibri"/>
          <w:b/>
          <w:bCs/>
          <w:color w:val="1F1F1F"/>
        </w:rPr>
        <w:lastRenderedPageBreak/>
        <w:t>11. Controle de versão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4826"/>
        <w:gridCol w:w="1600"/>
      </w:tblGrid>
      <w:tr w:rsidR="00563C5C" w14:paraId="4AF7CE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90F61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Versão</w:t>
            </w:r>
          </w:p>
        </w:tc>
        <w:tc>
          <w:tcPr>
            <w:tcW w:w="14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FFE36A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Data</w:t>
            </w:r>
          </w:p>
        </w:tc>
        <w:tc>
          <w:tcPr>
            <w:tcW w:w="4826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C437EB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Alterações</w:t>
            </w:r>
          </w:p>
        </w:tc>
        <w:tc>
          <w:tcPr>
            <w:tcW w:w="1600" w:type="dxa"/>
            <w:shd w:val="clear" w:color="auto" w:fill="EFEF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A2071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Responsável</w:t>
            </w:r>
          </w:p>
        </w:tc>
      </w:tr>
      <w:tr w:rsidR="00563C5C" w14:paraId="5C1D0F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A9E0B6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0.1</w:t>
            </w: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1E5ADE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Set/2026</w:t>
            </w:r>
          </w:p>
        </w:tc>
        <w:tc>
          <w:tcPr>
            <w:tcW w:w="48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0CBB1" w14:textId="77777777" w:rsidR="00563C5C" w:rsidRDefault="00806136">
            <w:pPr>
              <w:spacing w:before="60" w:after="60" w:line="280" w:lineRule="auto"/>
            </w:pPr>
            <w:r>
              <w:rPr>
                <w:rFonts w:ascii="Calibri" w:eastAsia="Calibri" w:hAnsi="Calibri" w:cs="Calibri"/>
                <w:color w:val="1F1F1F"/>
              </w:rPr>
              <w:t>Fundamentos, posicionamento, público, pilares, territórios, voz e regras de composição. Identidade visual pendente.</w:t>
            </w: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E3255C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7BBC9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5E910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5AF822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48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EE0AB7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1DEA92" w14:textId="77777777" w:rsidR="00563C5C" w:rsidRDefault="00563C5C">
            <w:pPr>
              <w:spacing w:before="60" w:after="60" w:line="280" w:lineRule="auto"/>
            </w:pPr>
          </w:p>
        </w:tc>
      </w:tr>
      <w:tr w:rsidR="00563C5C" w14:paraId="76D62D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42E7FB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A3B5C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4826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541495" w14:textId="77777777" w:rsidR="00563C5C" w:rsidRDefault="00563C5C">
            <w:pPr>
              <w:spacing w:before="60" w:after="60" w:line="280" w:lineRule="auto"/>
            </w:pPr>
          </w:p>
        </w:tc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A68202" w14:textId="77777777" w:rsidR="00563C5C" w:rsidRDefault="00563C5C">
            <w:pPr>
              <w:spacing w:before="60" w:after="60" w:line="280" w:lineRule="auto"/>
            </w:pPr>
          </w:p>
        </w:tc>
      </w:tr>
    </w:tbl>
    <w:p w14:paraId="667E73A9" w14:textId="167C33DD" w:rsidR="00563C5C" w:rsidRDefault="00563C5C" w:rsidP="00725632">
      <w:pPr>
        <w:spacing w:after="90" w:line="300" w:lineRule="auto"/>
      </w:pPr>
    </w:p>
    <w:sectPr w:rsidR="00563C5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3FDCD5" w14:textId="77777777" w:rsidR="00806136" w:rsidRDefault="00806136">
      <w:r>
        <w:separator/>
      </w:r>
    </w:p>
  </w:endnote>
  <w:endnote w:type="continuationSeparator" w:id="0">
    <w:p w14:paraId="23AB6B1C" w14:textId="77777777" w:rsidR="00806136" w:rsidRDefault="0080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E63B2E" w14:textId="77777777" w:rsidR="00563C5C" w:rsidRDefault="00806136">
    <w:pPr>
      <w:jc w:val="right"/>
    </w:pPr>
    <w:proofErr w:type="gramStart"/>
    <w:r>
      <w:rPr>
        <w:rFonts w:ascii="Calibri" w:eastAsia="Calibri" w:hAnsi="Calibri" w:cs="Calibri"/>
        <w:color w:val="6B6B6B"/>
        <w:sz w:val="16"/>
        <w:szCs w:val="16"/>
      </w:rPr>
      <w:t>Interprete</w:t>
    </w:r>
    <w:proofErr w:type="gramEnd"/>
    <w:r>
      <w:rPr>
        <w:rFonts w:ascii="Calibri" w:eastAsia="Calibri" w:hAnsi="Calibri" w:cs="Calibri"/>
        <w:color w:val="6B6B6B"/>
        <w:sz w:val="16"/>
        <w:szCs w:val="16"/>
      </w:rPr>
      <w:t xml:space="preserve">. — Manual de Marca v0.1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EA47F5">
      <w:rPr>
        <w:rFonts w:ascii="Calibri" w:eastAsia="Calibri" w:hAnsi="Calibri" w:cs="Calibri"/>
        <w:noProof/>
        <w:color w:val="6B6B6B"/>
        <w:sz w:val="16"/>
        <w:szCs w:val="16"/>
      </w:rPr>
      <w:t>1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5A730" w14:textId="77777777" w:rsidR="00806136" w:rsidRDefault="00806136">
      <w:r>
        <w:separator/>
      </w:r>
    </w:p>
  </w:footnote>
  <w:footnote w:type="continuationSeparator" w:id="0">
    <w:p w14:paraId="140A0037" w14:textId="77777777" w:rsidR="00806136" w:rsidRDefault="00806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709A1"/>
    <w:multiLevelType w:val="hybridMultilevel"/>
    <w:tmpl w:val="44AC07D6"/>
    <w:lvl w:ilvl="0" w:tplc="09963FAC">
      <w:start w:val="1"/>
      <w:numFmt w:val="decimal"/>
      <w:lvlText w:val="%1."/>
      <w:lvlJc w:val="left"/>
      <w:pPr>
        <w:ind w:left="360" w:hanging="200"/>
      </w:pPr>
    </w:lvl>
    <w:lvl w:ilvl="1" w:tplc="2E024906">
      <w:numFmt w:val="decimal"/>
      <w:lvlText w:val=""/>
      <w:lvlJc w:val="left"/>
    </w:lvl>
    <w:lvl w:ilvl="2" w:tplc="CDF608B4">
      <w:numFmt w:val="decimal"/>
      <w:lvlText w:val=""/>
      <w:lvlJc w:val="left"/>
    </w:lvl>
    <w:lvl w:ilvl="3" w:tplc="3C003CB6">
      <w:numFmt w:val="decimal"/>
      <w:lvlText w:val=""/>
      <w:lvlJc w:val="left"/>
    </w:lvl>
    <w:lvl w:ilvl="4" w:tplc="9C166C2E">
      <w:numFmt w:val="decimal"/>
      <w:lvlText w:val=""/>
      <w:lvlJc w:val="left"/>
    </w:lvl>
    <w:lvl w:ilvl="5" w:tplc="92C2A18E">
      <w:numFmt w:val="decimal"/>
      <w:lvlText w:val=""/>
      <w:lvlJc w:val="left"/>
    </w:lvl>
    <w:lvl w:ilvl="6" w:tplc="52D8883A">
      <w:numFmt w:val="decimal"/>
      <w:lvlText w:val=""/>
      <w:lvlJc w:val="left"/>
    </w:lvl>
    <w:lvl w:ilvl="7" w:tplc="A8E4CF88">
      <w:numFmt w:val="decimal"/>
      <w:lvlText w:val=""/>
      <w:lvlJc w:val="left"/>
    </w:lvl>
    <w:lvl w:ilvl="8" w:tplc="320AF5C6">
      <w:numFmt w:val="decimal"/>
      <w:lvlText w:val=""/>
      <w:lvlJc w:val="left"/>
    </w:lvl>
  </w:abstractNum>
  <w:abstractNum w:abstractNumId="1" w15:restartNumberingAfterBreak="0">
    <w:nsid w:val="56F41789"/>
    <w:multiLevelType w:val="hybridMultilevel"/>
    <w:tmpl w:val="68888BB6"/>
    <w:lvl w:ilvl="0" w:tplc="5C7ED00E">
      <w:start w:val="1"/>
      <w:numFmt w:val="bullet"/>
      <w:lvlText w:val="●"/>
      <w:lvlJc w:val="left"/>
      <w:pPr>
        <w:ind w:left="720" w:hanging="360"/>
      </w:pPr>
    </w:lvl>
    <w:lvl w:ilvl="1" w:tplc="4B14C17E">
      <w:start w:val="1"/>
      <w:numFmt w:val="bullet"/>
      <w:lvlText w:val="○"/>
      <w:lvlJc w:val="left"/>
      <w:pPr>
        <w:ind w:left="1440" w:hanging="360"/>
      </w:pPr>
    </w:lvl>
    <w:lvl w:ilvl="2" w:tplc="A8868B34">
      <w:start w:val="1"/>
      <w:numFmt w:val="bullet"/>
      <w:lvlText w:val="■"/>
      <w:lvlJc w:val="left"/>
      <w:pPr>
        <w:ind w:left="2160" w:hanging="360"/>
      </w:pPr>
    </w:lvl>
    <w:lvl w:ilvl="3" w:tplc="BE1E33FC">
      <w:start w:val="1"/>
      <w:numFmt w:val="bullet"/>
      <w:lvlText w:val="●"/>
      <w:lvlJc w:val="left"/>
      <w:pPr>
        <w:ind w:left="2880" w:hanging="360"/>
      </w:pPr>
    </w:lvl>
    <w:lvl w:ilvl="4" w:tplc="C5CCCFA4">
      <w:start w:val="1"/>
      <w:numFmt w:val="bullet"/>
      <w:lvlText w:val="○"/>
      <w:lvlJc w:val="left"/>
      <w:pPr>
        <w:ind w:left="3600" w:hanging="360"/>
      </w:pPr>
    </w:lvl>
    <w:lvl w:ilvl="5" w:tplc="4C663E2E">
      <w:start w:val="1"/>
      <w:numFmt w:val="bullet"/>
      <w:lvlText w:val="■"/>
      <w:lvlJc w:val="left"/>
      <w:pPr>
        <w:ind w:left="4320" w:hanging="360"/>
      </w:pPr>
    </w:lvl>
    <w:lvl w:ilvl="6" w:tplc="BF0482D2">
      <w:start w:val="1"/>
      <w:numFmt w:val="bullet"/>
      <w:lvlText w:val="●"/>
      <w:lvlJc w:val="left"/>
      <w:pPr>
        <w:ind w:left="5040" w:hanging="360"/>
      </w:pPr>
    </w:lvl>
    <w:lvl w:ilvl="7" w:tplc="5A42FFE4">
      <w:start w:val="1"/>
      <w:numFmt w:val="bullet"/>
      <w:lvlText w:val="●"/>
      <w:lvlJc w:val="left"/>
      <w:pPr>
        <w:ind w:left="5760" w:hanging="360"/>
      </w:pPr>
    </w:lvl>
    <w:lvl w:ilvl="8" w:tplc="5F42EA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4E285F"/>
    <w:multiLevelType w:val="hybridMultilevel"/>
    <w:tmpl w:val="E1DA2EAC"/>
    <w:lvl w:ilvl="0" w:tplc="D4660644">
      <w:start w:val="1"/>
      <w:numFmt w:val="bullet"/>
      <w:lvlText w:val="•"/>
      <w:lvlJc w:val="left"/>
      <w:pPr>
        <w:ind w:left="360" w:hanging="200"/>
      </w:pPr>
    </w:lvl>
    <w:lvl w:ilvl="1" w:tplc="AC42D3F8">
      <w:start w:val="1"/>
      <w:numFmt w:val="bullet"/>
      <w:lvlText w:val="–"/>
      <w:lvlJc w:val="left"/>
      <w:pPr>
        <w:ind w:left="720" w:hanging="200"/>
      </w:pPr>
    </w:lvl>
    <w:lvl w:ilvl="2" w:tplc="699637BE">
      <w:numFmt w:val="decimal"/>
      <w:lvlText w:val=""/>
      <w:lvlJc w:val="left"/>
    </w:lvl>
    <w:lvl w:ilvl="3" w:tplc="FE1E4B1A">
      <w:numFmt w:val="decimal"/>
      <w:lvlText w:val=""/>
      <w:lvlJc w:val="left"/>
    </w:lvl>
    <w:lvl w:ilvl="4" w:tplc="BB380100">
      <w:numFmt w:val="decimal"/>
      <w:lvlText w:val=""/>
      <w:lvlJc w:val="left"/>
    </w:lvl>
    <w:lvl w:ilvl="5" w:tplc="C95C6CEC">
      <w:numFmt w:val="decimal"/>
      <w:lvlText w:val=""/>
      <w:lvlJc w:val="left"/>
    </w:lvl>
    <w:lvl w:ilvl="6" w:tplc="2DF454AC">
      <w:numFmt w:val="decimal"/>
      <w:lvlText w:val=""/>
      <w:lvlJc w:val="left"/>
    </w:lvl>
    <w:lvl w:ilvl="7" w:tplc="CBE223CE">
      <w:numFmt w:val="decimal"/>
      <w:lvlText w:val=""/>
      <w:lvlJc w:val="left"/>
    </w:lvl>
    <w:lvl w:ilvl="8" w:tplc="1B18B01C">
      <w:numFmt w:val="decimal"/>
      <w:lvlText w:val=""/>
      <w:lvlJc w:val="left"/>
    </w:lvl>
  </w:abstractNum>
  <w:num w:numId="1" w16cid:durableId="1129471717">
    <w:abstractNumId w:val="1"/>
    <w:lvlOverride w:ilvl="0">
      <w:startOverride w:val="1"/>
    </w:lvlOverride>
  </w:num>
  <w:num w:numId="2" w16cid:durableId="2001539255">
    <w:abstractNumId w:val="2"/>
    <w:lvlOverride w:ilvl="0">
      <w:startOverride w:val="1"/>
    </w:lvlOverride>
  </w:num>
  <w:num w:numId="3" w16cid:durableId="1692075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C5C"/>
    <w:rsid w:val="0000626F"/>
    <w:rsid w:val="000550BC"/>
    <w:rsid w:val="001761A1"/>
    <w:rsid w:val="001A59D5"/>
    <w:rsid w:val="001B18F4"/>
    <w:rsid w:val="001B4764"/>
    <w:rsid w:val="00212BE7"/>
    <w:rsid w:val="0023655F"/>
    <w:rsid w:val="002A2018"/>
    <w:rsid w:val="002A2ABC"/>
    <w:rsid w:val="003971A0"/>
    <w:rsid w:val="003C3860"/>
    <w:rsid w:val="00407F13"/>
    <w:rsid w:val="00465BDB"/>
    <w:rsid w:val="0046766C"/>
    <w:rsid w:val="004730A2"/>
    <w:rsid w:val="00480262"/>
    <w:rsid w:val="0048790C"/>
    <w:rsid w:val="00495B14"/>
    <w:rsid w:val="004D3C48"/>
    <w:rsid w:val="004D490F"/>
    <w:rsid w:val="00514975"/>
    <w:rsid w:val="005501DC"/>
    <w:rsid w:val="00563C5C"/>
    <w:rsid w:val="005856C9"/>
    <w:rsid w:val="005B76B5"/>
    <w:rsid w:val="005D2612"/>
    <w:rsid w:val="00624FAD"/>
    <w:rsid w:val="006B0806"/>
    <w:rsid w:val="006B74D7"/>
    <w:rsid w:val="006C7ADE"/>
    <w:rsid w:val="00725632"/>
    <w:rsid w:val="0078029D"/>
    <w:rsid w:val="00792777"/>
    <w:rsid w:val="007A015D"/>
    <w:rsid w:val="007E46D5"/>
    <w:rsid w:val="00806136"/>
    <w:rsid w:val="008C5E03"/>
    <w:rsid w:val="008C6EDF"/>
    <w:rsid w:val="00906D5B"/>
    <w:rsid w:val="0095301A"/>
    <w:rsid w:val="009724F4"/>
    <w:rsid w:val="00A05B23"/>
    <w:rsid w:val="00AE6476"/>
    <w:rsid w:val="00B2369D"/>
    <w:rsid w:val="00B81E3F"/>
    <w:rsid w:val="00BA5FAC"/>
    <w:rsid w:val="00BD425C"/>
    <w:rsid w:val="00C01185"/>
    <w:rsid w:val="00C06104"/>
    <w:rsid w:val="00C25A55"/>
    <w:rsid w:val="00C63E39"/>
    <w:rsid w:val="00C928D1"/>
    <w:rsid w:val="00D034AA"/>
    <w:rsid w:val="00D2024A"/>
    <w:rsid w:val="00DD0233"/>
    <w:rsid w:val="00DE7B5A"/>
    <w:rsid w:val="00E06C20"/>
    <w:rsid w:val="00E15522"/>
    <w:rsid w:val="00EA47F5"/>
    <w:rsid w:val="00F32F6B"/>
    <w:rsid w:val="00F93FBB"/>
    <w:rsid w:val="00F97BC7"/>
    <w:rsid w:val="00FC4F4F"/>
    <w:rsid w:val="00FC5687"/>
    <w:rsid w:val="00FE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5DB2D5"/>
  <w15:docId w15:val="{926765EF-7FDB-2C45-9251-B20084E8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A47F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A47F5"/>
    <w:pPr>
      <w:spacing w:after="100"/>
      <w:ind w:left="200"/>
    </w:pPr>
  </w:style>
  <w:style w:type="paragraph" w:styleId="Cabealho">
    <w:name w:val="header"/>
    <w:basedOn w:val="Normal"/>
    <w:link w:val="CabealhoChar"/>
    <w:uiPriority w:val="99"/>
    <w:semiHidden/>
    <w:unhideWhenUsed/>
    <w:rsid w:val="008C5E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C5E03"/>
  </w:style>
  <w:style w:type="paragraph" w:styleId="Rodap">
    <w:name w:val="footer"/>
    <w:basedOn w:val="Normal"/>
    <w:link w:val="RodapChar"/>
    <w:uiPriority w:val="99"/>
    <w:semiHidden/>
    <w:unhideWhenUsed/>
    <w:rsid w:val="008C5E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8C5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22</Pages>
  <Words>4443</Words>
  <Characters>23420</Characters>
  <Application>Microsoft Office Word</Application>
  <DocSecurity>0</DocSecurity>
  <Lines>709</Lines>
  <Paragraphs>592</Paragraphs>
  <ScaleCrop>false</ScaleCrop>
  <Company/>
  <LinksUpToDate>false</LinksUpToDate>
  <CharactersWithSpaces>27271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Marca — Interprete.</dc:title>
  <dc:creator>Interprete.</dc:creator>
  <dc:description>Manual de marca institucional do projeto Interprete.</dc:description>
  <cp:lastModifiedBy>Gianluca Pinheiro</cp:lastModifiedBy>
  <cp:revision>43</cp:revision>
  <dcterms:created xsi:type="dcterms:W3CDTF">2026-09-02T18:24:00Z</dcterms:created>
  <dcterms:modified xsi:type="dcterms:W3CDTF">2026-09-04T12:47:00Z</dcterms:modified>
</cp:coreProperties>
</file>