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jc w:val="center"/>
      </w:pPr>
      <w:r>
        <w:rPr>
          <w:rFonts w:ascii="Arial" w:cs="Arial" w:eastAsia="Arial" w:hAnsi="Arial"/>
          <w:b/>
          <w:bCs/>
          <w:color w:val="0F1E3D"/>
          <w:sz w:val="56"/>
          <w:szCs w:val="56"/>
        </w:rPr>
        <w:t xml:space="preserve">ÁUREA CUSTÓDIA</w:t>
      </w:r>
    </w:p>
    <w:p>
      <w:pPr>
        <w:spacing w:after="40"/>
        <w:jc w:val="center"/>
      </w:pPr>
      <w:r>
        <w:rPr>
          <w:rFonts w:ascii="Arial" w:cs="Arial" w:eastAsia="Arial" w:hAnsi="Arial"/>
          <w:b/>
          <w:bCs/>
          <w:color w:val="C9A227"/>
          <w:sz w:val="32"/>
          <w:szCs w:val="32"/>
        </w:rPr>
        <w:t xml:space="preserve">REAL OLÍMPICO</w:t>
      </w:r>
    </w:p>
    <w:p>
      <w:pPr>
        <w:spacing w:after="600"/>
        <w:jc w:val="center"/>
      </w:pPr>
      <w:r>
        <w:rPr>
          <w:rFonts w:ascii="Arial" w:cs="Arial" w:eastAsia="Arial" w:hAnsi="Arial"/>
          <w:i/>
          <w:iCs/>
          <w:color w:val="595959"/>
          <w:sz w:val="26"/>
          <w:szCs w:val="26"/>
        </w:rPr>
        <w:t xml:space="preserve">Documento Explicativo — Planejamento Financeiro Inicial</w:t>
      </w:r>
    </w:p>
    <w:p>
      <w:pPr>
        <w:spacing w:after="40"/>
        <w:jc w:val="center"/>
      </w:pPr>
      <w:r>
        <w:rPr>
          <w:rFonts w:ascii="Arial" w:cs="Arial" w:eastAsia="Arial" w:hAnsi="Arial"/>
          <w:color w:val="595959"/>
          <w:sz w:val="20"/>
          <w:szCs w:val="20"/>
        </w:rPr>
        <w:t xml:space="preserve">Fontes de dados, memória de cálculo, lógica das fórmulas e tributação aplicável</w:t>
      </w:r>
    </w:p>
    <w:p>
      <w:pPr>
        <w:spacing w:after="40" w:before="800"/>
        <w:jc w:val="center"/>
      </w:pPr>
      <w:r>
        <w:rPr>
          <w:rFonts w:ascii="Arial" w:cs="Arial" w:eastAsia="Arial" w:hAnsi="Arial"/>
          <w:b/>
          <w:bCs/>
          <w:color w:val="0F1E3D"/>
          <w:sz w:val="19"/>
          <w:szCs w:val="19"/>
        </w:rPr>
        <w:t xml:space="preserve">AUREA CUSTODIA LTDA  —  CNPJ 68.071.452/0001-06</w:t>
      </w:r>
    </w:p>
    <w:p>
      <w:pPr>
        <w:spacing w:after="40"/>
        <w:jc w:val="center"/>
      </w:pPr>
      <w:r>
        <w:rPr>
          <w:rFonts w:ascii="Arial" w:cs="Arial" w:eastAsia="Arial" w:hAnsi="Arial"/>
          <w:color w:val="595959"/>
          <w:sz w:val="18"/>
          <w:szCs w:val="18"/>
        </w:rPr>
        <w:t xml:space="preserve">Documento de referência da planilha "Aurea_Custodia_Planejamento_Financeiro.xlsx"</w:t>
      </w:r>
    </w:p>
    <w:p>
      <w:pPr>
        <w:spacing w:after="40"/>
        <w:jc w:val="center"/>
      </w:pPr>
      <w:r>
        <w:rPr>
          <w:rFonts w:ascii="Arial" w:cs="Arial" w:eastAsia="Arial" w:hAnsi="Arial"/>
          <w:color w:val="595959"/>
          <w:sz w:val="18"/>
          <w:szCs w:val="18"/>
        </w:rPr>
        <w:t xml:space="preserve">Julho de 2026</w:t>
      </w:r>
    </w:p>
    <w:p>
      <w:r>
        <w:br w:type="page"/>
      </w:r>
    </w:p>
    <w:p>
      <w:pPr>
        <w:pStyle w:val="Heading1"/>
        <w:pBdr>
          <w:bottom w:val="single" w:color="C9A227" w:sz="12" w:space="4"/>
        </w:pBdr>
        <w:spacing w:after="160" w:before="360"/>
      </w:pPr>
      <w:r>
        <w:rPr>
          <w:rFonts w:ascii="Arial" w:cs="Arial" w:eastAsia="Arial" w:hAnsi="Arial"/>
          <w:b/>
          <w:bCs/>
          <w:color w:val="0F1E3D"/>
          <w:sz w:val="30"/>
          <w:szCs w:val="30"/>
        </w:rPr>
        <w:t xml:space="preserve">Sumário executivo</w:t>
      </w:r>
    </w:p>
    <w:p>
      <w:pPr>
        <w:spacing w:after="160" w:line="276"/>
        <w:jc w:val="both"/>
      </w:pPr>
      <w:r>
        <w:rPr>
          <w:rFonts w:ascii="Arial" w:cs="Arial" w:eastAsia="Arial" w:hAnsi="Arial"/>
          <w:color w:val="1A1A1A"/>
          <w:sz w:val="20"/>
          <w:szCs w:val="20"/>
        </w:rPr>
        <w:t xml:space="preserve">Este documento acompanha a planilha financeira inicial da Áurea Custódia e explica, em detalhe, três coisas: (1) de onde veio cada número usado nos cálculos — pesquisas de mercado, tabelas oficiais e fontes citadas; (2) como cada fórmula da planilha funciona e por que foi construída daquele jeito; e (3) quais impostos incidem sobre a operação da empresa, agora com base no CNPJ real da Áurea Custódia LTDA, emitido em 16/07/2026.</w:t>
      </w:r>
    </w:p>
    <w:p>
      <w:pPr>
        <w:spacing w:after="160" w:line="276"/>
        <w:jc w:val="both"/>
      </w:pPr>
      <w:r>
        <w:rPr>
          <w:rFonts w:ascii="Arial" w:cs="Arial" w:eastAsia="Arial" w:hAnsi="Arial"/>
          <w:color w:val="1A1A1A"/>
          <w:sz w:val="20"/>
          <w:szCs w:val="20"/>
        </w:rPr>
        <w:t xml:space="preserve">Um ponto merece atenção logo de início: com o CNPJ em mãos, foi possível confirmar os CNAEs efetivamente registrados — e eles trazem uma informação que refina (e em parte corrige) a forma como os impostos foram simplificados na primeira versão da planilha. Essa correção está detalhada na Seção 4 e é o item mais importante deste documento para revisar com o contador antes do lançamento.</w:t>
      </w: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6D9" w:val="clear"/>
            <w:tcMar>
              <w:top w:type="dxa" w:w="160"/>
              <w:left w:type="dxa" w:w="200"/>
              <w:bottom w:type="dxa" w:w="160"/>
              <w:right w:type="dxa" w:w="200"/>
            </w:tcMar>
          </w:tcPr>
          <w:p>
            <w:pPr>
              <w:spacing w:after="80"/>
            </w:pPr>
            <w:r>
              <w:rPr>
                <w:rFonts w:ascii="Arial" w:cs="Arial" w:eastAsia="Arial" w:hAnsi="Arial"/>
                <w:b/>
                <w:bCs/>
                <w:color w:val="0F1E3D"/>
                <w:sz w:val="20"/>
                <w:szCs w:val="20"/>
              </w:rPr>
              <w:t xml:space="preserve">⚠ Ação com prazo: opção pelo Simples Nacional</w:t>
            </w:r>
          </w:p>
          <w:p>
            <w:pPr>
              <w:spacing w:line="264"/>
              <w:jc w:val="both"/>
            </w:pPr>
            <w:r>
              <w:rPr>
                <w:rFonts w:ascii="Arial" w:cs="Arial" w:eastAsia="Arial" w:hAnsi="Arial"/>
                <w:color w:val="1A1A1A"/>
                <w:sz w:val="19"/>
                <w:szCs w:val="19"/>
              </w:rPr>
              <w:t xml:space="preserve">O CNPJ da Áurea Custódia foi aberto em 16/07/2026. Desde dezembro de 2025, a Receita Federal exige que a opção pelo Simples Nacional seja manifestada já no momento da inscrição do CNPJ (Módulo de Administração Tributária — MAT). Se isso não foi feito no ato da abertura, existe uma janela de até 30 dias a partir do deferimento da inscrição estadual/municipal — nunca ultrapassando 60 dias da abertura do CNPJ — para pedir a opção com efeito retroativo à data de abertura. Perder esse prazo significa ficar de fora do Simples Nacional até janeiro de 2027 (janela anual de opção), tributado por Lucro Presumido ou Lucro Real nesse meio tempo — regimes bem mais caros para uma operação neste estágio. Fonte: Receita Federal / Portal do Simples Nacional, regras vigentes em 2026. Verifique com o contador se essa opção já foi manifestada.</w:t>
            </w:r>
          </w:p>
        </w:tc>
      </w:tr>
    </w:tbl>
    <w:p>
      <w:pPr>
        <w:pStyle w:val="Heading1"/>
        <w:pBdr>
          <w:bottom w:val="single" w:color="C9A227" w:sz="12" w:space="4"/>
        </w:pBdr>
        <w:spacing w:after="160" w:before="360"/>
      </w:pPr>
      <w:r>
        <w:rPr>
          <w:rFonts w:ascii="Arial" w:cs="Arial" w:eastAsia="Arial" w:hAnsi="Arial"/>
          <w:b/>
          <w:bCs/>
          <w:color w:val="0F1E3D"/>
          <w:sz w:val="30"/>
          <w:szCs w:val="30"/>
        </w:rPr>
        <w:t xml:space="preserve">1. Dados cadastrais da empresa (conforme CNPJ)</w:t>
      </w:r>
    </w:p>
    <w:p>
      <w:pPr>
        <w:spacing w:after="160" w:line="276"/>
        <w:jc w:val="both"/>
      </w:pPr>
      <w:r>
        <w:rPr>
          <w:rFonts w:ascii="Arial" w:cs="Arial" w:eastAsia="Arial" w:hAnsi="Arial"/>
          <w:color w:val="1A1A1A"/>
          <w:sz w:val="20"/>
          <w:szCs w:val="20"/>
        </w:rPr>
        <w:t xml:space="preserve">Os dados abaixo foram extraídos do Comprovante de Inscrição e de Situação Cadastral emitido pela Receita Federal em 17/07/2026, um dia após a abertura do CNPJ.</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dxa" w:w="32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Campo</w:t>
            </w:r>
          </w:p>
        </w:tc>
        <w:tc>
          <w:tcPr>
            <w:tcW w:type="dxa" w:w="615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Valor</w:t>
            </w:r>
          </w:p>
        </w:tc>
      </w:tr>
      <w:tr>
        <w:tc>
          <w:tcPr>
            <w:tcW w:type="dxa" w:w="3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Número de inscrição (CNPJ)</w:t>
            </w:r>
          </w:p>
        </w:tc>
        <w:tc>
          <w:tcPr>
            <w:tcW w:type="dxa" w:w="61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68.071.452/0001-06 — MATRIZ</w:t>
            </w:r>
          </w:p>
        </w:tc>
      </w:tr>
      <w:tr>
        <w:tc>
          <w:tcPr>
            <w:tcW w:type="dxa" w:w="3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Data de abertura</w:t>
            </w:r>
          </w:p>
        </w:tc>
        <w:tc>
          <w:tcPr>
            <w:tcW w:type="dxa" w:w="61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16/07/2026</w:t>
            </w:r>
          </w:p>
        </w:tc>
      </w:tr>
      <w:tr>
        <w:tc>
          <w:tcPr>
            <w:tcW w:type="dxa" w:w="3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Nome empresarial</w:t>
            </w:r>
          </w:p>
        </w:tc>
        <w:tc>
          <w:tcPr>
            <w:tcW w:type="dxa" w:w="61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AUREA CUSTODIA LTDA</w:t>
            </w:r>
          </w:p>
        </w:tc>
      </w:tr>
      <w:tr>
        <w:tc>
          <w:tcPr>
            <w:tcW w:type="dxa" w:w="3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Nome de fantasia</w:t>
            </w:r>
          </w:p>
        </w:tc>
        <w:tc>
          <w:tcPr>
            <w:tcW w:type="dxa" w:w="61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REAL OLIMPICO</w:t>
            </w:r>
          </w:p>
        </w:tc>
      </w:tr>
      <w:tr>
        <w:tc>
          <w:tcPr>
            <w:tcW w:type="dxa" w:w="3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Natureza jurídica</w:t>
            </w:r>
          </w:p>
        </w:tc>
        <w:tc>
          <w:tcPr>
            <w:tcW w:type="dxa" w:w="61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206-2 — Sociedade Empresária Limitada</w:t>
            </w:r>
          </w:p>
        </w:tc>
      </w:tr>
      <w:tr>
        <w:tc>
          <w:tcPr>
            <w:tcW w:type="dxa" w:w="3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Porte</w:t>
            </w:r>
          </w:p>
        </w:tc>
        <w:tc>
          <w:tcPr>
            <w:tcW w:type="dxa" w:w="61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DEMAIS (ver explicação abaixo)</w:t>
            </w:r>
          </w:p>
        </w:tc>
      </w:tr>
      <w:tr>
        <w:tc>
          <w:tcPr>
            <w:tcW w:type="dxa" w:w="3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CNAE principal</w:t>
            </w:r>
          </w:p>
        </w:tc>
        <w:tc>
          <w:tcPr>
            <w:tcW w:type="dxa" w:w="61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52.11-7-99 — Depósitos de mercadorias para terceiros, exceto armazéns gerais e guarda-móveis</w:t>
            </w:r>
          </w:p>
        </w:tc>
      </w:tr>
      <w:tr>
        <w:tc>
          <w:tcPr>
            <w:tcW w:type="dxa" w:w="3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CNAE secundário</w:t>
            </w:r>
          </w:p>
        </w:tc>
        <w:tc>
          <w:tcPr>
            <w:tcW w:type="dxa" w:w="61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74.90-1-04 — Atividades de intermediação e agenciamento de serviços e negócios em geral, exceto imobiliários (dispensada de alvará)</w:t>
            </w:r>
          </w:p>
        </w:tc>
      </w:tr>
      <w:tr>
        <w:tc>
          <w:tcPr>
            <w:tcW w:type="dxa" w:w="3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Endereço</w:t>
            </w:r>
          </w:p>
        </w:tc>
        <w:tc>
          <w:tcPr>
            <w:tcW w:type="dxa" w:w="61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R. dos Tabaiares, 12, Sala 210 — Floresta, Belo Horizonte/MG — CEP 30.150-040</w:t>
            </w:r>
          </w:p>
        </w:tc>
      </w:tr>
      <w:tr>
        <w:tc>
          <w:tcPr>
            <w:tcW w:type="dxa" w:w="3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Situação cadastral</w:t>
            </w:r>
          </w:p>
        </w:tc>
        <w:tc>
          <w:tcPr>
            <w:tcW w:type="dxa" w:w="61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ATIVA (desde 16/07/2026)</w:t>
            </w:r>
          </w:p>
        </w:tc>
      </w:tr>
    </w:tbl>
    <w:p>
      <w:pPr>
        <w:pStyle w:val="Heading2"/>
        <w:spacing w:after="120" w:before="280"/>
      </w:pPr>
      <w:r>
        <w:rPr>
          <w:rFonts w:ascii="Arial" w:cs="Arial" w:eastAsia="Arial" w:hAnsi="Arial"/>
          <w:b/>
          <w:bCs/>
          <w:color w:val="0F1E3D"/>
          <w:sz w:val="24"/>
          <w:szCs w:val="24"/>
        </w:rPr>
        <w:t xml:space="preserve">1.1 O que significa "Porte: DEMAIS"?</w:t>
      </w:r>
    </w:p>
    <w:p>
      <w:pPr>
        <w:spacing w:after="160" w:line="276"/>
        <w:jc w:val="both"/>
      </w:pPr>
      <w:r>
        <w:rPr>
          <w:rFonts w:ascii="Arial" w:cs="Arial" w:eastAsia="Arial" w:hAnsi="Arial"/>
          <w:color w:val="1A1A1A"/>
          <w:sz w:val="20"/>
          <w:szCs w:val="20"/>
        </w:rPr>
        <w:t xml:space="preserve">Muita gente lê "Porte: DEMAIS" no cartão CNPJ e associa a empresa grande — não é isso. Esse rótulo é o padrão genérico que a Receita Federal usa para qualquer empresa que ainda não foi classificada como ME (Microempresa) ou EPP (Empresa de Pequeno Porte). Isso é absolutamente normal para uma empresa recém-aberta: a classificação ME/EPP só aparece depois que a opção pelo Simples Nacional é processada e deferida. Não indica nenhum problema, mas reforça o alerta de prazo da página anterior — enquanto a opção pelo Simples não for aprovada, o "Porte" no cartão CNPJ continua como "DEMAIS".</w:t>
      </w:r>
    </w:p>
    <w:p>
      <w:pPr>
        <w:pStyle w:val="Heading2"/>
        <w:spacing w:after="120" w:before="280"/>
      </w:pPr>
      <w:r>
        <w:rPr>
          <w:rFonts w:ascii="Arial" w:cs="Arial" w:eastAsia="Arial" w:hAnsi="Arial"/>
          <w:b/>
          <w:bCs/>
          <w:color w:val="0F1E3D"/>
          <w:sz w:val="24"/>
          <w:szCs w:val="24"/>
        </w:rPr>
        <w:t xml:space="preserve">1.2 Por que os dois CNAEs registrados importam tanto para a planilha</w:t>
      </w:r>
    </w:p>
    <w:p>
      <w:pPr>
        <w:spacing w:after="160" w:line="276"/>
        <w:jc w:val="both"/>
      </w:pPr>
      <w:r>
        <w:rPr>
          <w:rFonts w:ascii="Arial" w:cs="Arial" w:eastAsia="Arial" w:hAnsi="Arial"/>
          <w:color w:val="1A1A1A"/>
          <w:sz w:val="20"/>
          <w:szCs w:val="20"/>
        </w:rPr>
        <w:t xml:space="preserve">A escolha do CNAE não é só uma formalidade de abertura — ela determina, atividade por atividade, qual "Anexo" do Simples Nacional se aplica e, portanto, qual alíquota de imposto incide sobre cada tipo de receita. A Áurea Custódia tem dois CNAEs, e cada um tem uma regra diferente:</w:t>
      </w:r>
    </w:p>
    <w:p>
      <w:pPr>
        <w:pStyle w:val="ListParagraph"/>
        <w:numPr>
          <w:ilvl w:val="0"/>
          <w:numId w:val="2"/>
        </w:numPr>
        <w:spacing w:after="100" w:line="264"/>
      </w:pPr>
      <w:r>
        <w:rPr>
          <w:rFonts w:ascii="Arial" w:cs="Arial" w:eastAsia="Arial" w:hAnsi="Arial"/>
          <w:sz w:val="20"/>
          <w:szCs w:val="20"/>
        </w:rPr>
        <w:t xml:space="preserve">52.11-7-99 (principal) — cobre a atividade de custódia/armazenagem das moedas. É a atividade-mãe do negócio (guardar o ativo físico).</w:t>
      </w:r>
    </w:p>
    <w:p>
      <w:pPr>
        <w:pStyle w:val="ListParagraph"/>
        <w:numPr>
          <w:ilvl w:val="0"/>
          <w:numId w:val="2"/>
        </w:numPr>
        <w:spacing w:after="100" w:line="264"/>
      </w:pPr>
      <w:r>
        <w:rPr>
          <w:rFonts w:ascii="Arial" w:cs="Arial" w:eastAsia="Arial" w:hAnsi="Arial"/>
          <w:sz w:val="20"/>
          <w:szCs w:val="20"/>
        </w:rPr>
        <w:t xml:space="preserve">74.90-1-04 (secundário) — cobre intermediação e agenciamento de negócios em geral. É o CNAE que enquadra o marketplace de negociação (trading) e a futura comissão de crédito com garantia (parceria bancária).</w:t>
      </w:r>
    </w:p>
    <w:p>
      <w:pPr>
        <w:spacing w:after="160" w:line="276"/>
        <w:jc w:val="both"/>
      </w:pPr>
      <w:r>
        <w:rPr>
          <w:rFonts w:ascii="Arial" w:cs="Arial" w:eastAsia="Arial" w:hAnsi="Arial"/>
          <w:color w:val="1A1A1A"/>
          <w:sz w:val="20"/>
          <w:szCs w:val="20"/>
        </w:rPr>
        <w:t xml:space="preserve">A Seção 4 deste documento detalha por que essa distinção muda a forma como os impostos devem ser calculados — e por que a primeira versão da planilha usa uma simplificação que precisa ser refinada.</w:t>
      </w:r>
    </w:p>
    <w:p>
      <w:pPr>
        <w:pStyle w:val="Heading1"/>
        <w:pBdr>
          <w:bottom w:val="single" w:color="C9A227" w:sz="12" w:space="4"/>
        </w:pBdr>
        <w:spacing w:after="160" w:before="360"/>
      </w:pPr>
      <w:r>
        <w:rPr>
          <w:rFonts w:ascii="Arial" w:cs="Arial" w:eastAsia="Arial" w:hAnsi="Arial"/>
          <w:b/>
          <w:bCs/>
          <w:color w:val="0F1E3D"/>
          <w:sz w:val="30"/>
          <w:szCs w:val="30"/>
        </w:rPr>
        <w:t xml:space="preserve">2. Fontes de dados e pesquisas utilizadas</w:t>
      </w:r>
    </w:p>
    <w:p>
      <w:pPr>
        <w:spacing w:after="160" w:line="276"/>
        <w:jc w:val="both"/>
      </w:pPr>
      <w:r>
        <w:rPr>
          <w:rFonts w:ascii="Arial" w:cs="Arial" w:eastAsia="Arial" w:hAnsi="Arial"/>
          <w:color w:val="1A1A1A"/>
          <w:sz w:val="20"/>
          <w:szCs w:val="20"/>
        </w:rPr>
        <w:t xml:space="preserve">Todo valor que não veio diretamente de você ou das reuniões de conceitualização foi pesquisado antes de entrar na planilha. A tabela abaixo mostra, item por item, de onde cada número saiu.</w:t>
      </w:r>
    </w:p>
    <w:p>
      <w:pPr>
        <w:pStyle w:val="Heading2"/>
        <w:spacing w:after="120" w:before="280"/>
      </w:pPr>
      <w:r>
        <w:rPr>
          <w:rFonts w:ascii="Arial" w:cs="Arial" w:eastAsia="Arial" w:hAnsi="Arial"/>
          <w:b/>
          <w:bCs/>
          <w:color w:val="0F1E3D"/>
          <w:sz w:val="24"/>
          <w:szCs w:val="24"/>
        </w:rPr>
        <w:t xml:space="preserve">2.1 Despesas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dxa" w:w="26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Item pesquisado</w:t>
            </w:r>
          </w:p>
        </w:tc>
        <w:tc>
          <w:tcPr>
            <w:tcW w:type="dxa" w:w="42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 que foi encontrado</w:t>
            </w:r>
          </w:p>
        </w:tc>
        <w:tc>
          <w:tcPr>
            <w:tcW w:type="dxa" w:w="255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Fonte</w:t>
            </w:r>
          </w:p>
        </w:tc>
      </w:tr>
      <w:tr>
        <w:tc>
          <w:tcPr>
            <w:tcW w:type="dxa" w:w="26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Webcam 4K USB para gravar a análise das moedas</w:t>
            </w:r>
          </w:p>
        </w:tc>
        <w:tc>
          <w:tcPr>
            <w:tcW w:type="dxa" w:w="4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EMEET C960 4K, sensor Sony, plug-and-play — faixa de R$247 a R$410 conforme loja/kit (com tripé)</w:t>
            </w:r>
          </w:p>
        </w:tc>
        <w:tc>
          <w:tcPr>
            <w:tcW w:type="dxa" w:w="25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Mercado Livre, Amazon BR e Magazine Luiza, pesquisa de julho/2026</w:t>
            </w:r>
          </w:p>
        </w:tc>
      </w:tr>
      <w:tr>
        <w:tc>
          <w:tcPr>
            <w:tcW w:type="dxa" w:w="26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Balança de precisão 0,01g (até 500g)</w:t>
            </w:r>
          </w:p>
        </w:tc>
        <w:tc>
          <w:tcPr>
            <w:tcW w:type="dxa" w:w="4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Faixa de R$56 a R$120 para balanças digitais de bancada</w:t>
            </w:r>
          </w:p>
        </w:tc>
        <w:tc>
          <w:tcPr>
            <w:tcW w:type="dxa" w:w="25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Mercado Livre, pesquisa de julho/2026</w:t>
            </w:r>
          </w:p>
        </w:tc>
      </w:tr>
      <w:tr>
        <w:tc>
          <w:tcPr>
            <w:tcW w:type="dxa" w:w="26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Contabilidade online para ME no Simples Nacional</w:t>
            </w:r>
          </w:p>
        </w:tc>
        <w:tc>
          <w:tcPr>
            <w:tcW w:type="dxa" w:w="4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Planos de entrada entre R$137 e R$300/mês, incluindo apuração de DAS e emissão de notas</w:t>
            </w:r>
          </w:p>
        </w:tc>
        <w:tc>
          <w:tcPr>
            <w:tcW w:type="dxa" w:w="25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Contajá, Contabilidade.com — pesquisa de julho/2026</w:t>
            </w:r>
          </w:p>
        </w:tc>
      </w:tr>
      <w:tr>
        <w:tc>
          <w:tcPr>
            <w:tcW w:type="dxa" w:w="26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Certificado digital e-CNPJ A1</w:t>
            </w:r>
          </w:p>
        </w:tc>
        <w:tc>
          <w:tcPr>
            <w:tcW w:type="dxa" w:w="4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Faixa de R$99,90 a R$380,00/ano conforme certificadora</w:t>
            </w:r>
          </w:p>
        </w:tc>
        <w:tc>
          <w:tcPr>
            <w:tcW w:type="dxa" w:w="25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CertDigitais, comparativos de mercado — pesquisa de julho/2026</w:t>
            </w:r>
          </w:p>
        </w:tc>
      </w:tr>
      <w:tr>
        <w:tc>
          <w:tcPr>
            <w:tcW w:type="dxa" w:w="26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Envio de e-mails transacionais</w:t>
            </w:r>
          </w:p>
        </w:tc>
        <w:tc>
          <w:tcPr>
            <w:tcW w:type="dxa" w:w="4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Brevo (grátis até ~300 e-mails/dia) e Amazon SES (US$0,10 a cada 1.000 e-mails) como alternativa de baixo custo</w:t>
            </w:r>
          </w:p>
        </w:tc>
        <w:tc>
          <w:tcPr>
            <w:tcW w:type="dxa" w:w="25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Comparativos Brevo vs. Amazon SES, 2026</w:t>
            </w:r>
          </w:p>
        </w:tc>
      </w:tr>
      <w:tr>
        <w:tc>
          <w:tcPr>
            <w:tcW w:type="dxa" w:w="26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Seguro de itens de valor/colecionáveis (referência)</w:t>
            </w:r>
          </w:p>
        </w:tc>
        <w:tc>
          <w:tcPr>
            <w:tcW w:type="dxa" w:w="4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Prêmio típico entre 0,8% e 2% ao ano do valor avaliado, para bens guardados em ambiente controlado</w:t>
            </w:r>
          </w:p>
        </w:tc>
        <w:tc>
          <w:tcPr>
            <w:tcW w:type="dxa" w:w="25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Genebra Seguros, Howden Brasil — matérias sobre seguro de obras de arte e bens de luxo</w:t>
            </w:r>
          </w:p>
        </w:tc>
      </w:tr>
    </w:tbl>
    <w:p>
      <w:pPr>
        <w:pStyle w:val="Heading2"/>
        <w:spacing w:after="120" w:before="280"/>
      </w:pPr>
      <w:r>
        <w:rPr>
          <w:rFonts w:ascii="Arial" w:cs="Arial" w:eastAsia="Arial" w:hAnsi="Arial"/>
          <w:b/>
          <w:bCs/>
          <w:color w:val="0F1E3D"/>
          <w:sz w:val="24"/>
          <w:szCs w:val="24"/>
        </w:rPr>
        <w:t xml:space="preserve">2.2 Faturamento</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dxa" w:w="29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Item pesquisado</w:t>
            </w:r>
          </w:p>
        </w:tc>
        <w:tc>
          <w:tcPr>
            <w:tcW w:type="dxa" w:w="42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 que foi encontrado</w:t>
            </w:r>
          </w:p>
        </w:tc>
        <w:tc>
          <w:tcPr>
            <w:tcW w:type="dxa" w:w="225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Fonte</w:t>
            </w:r>
          </w:p>
        </w:tc>
      </w:tr>
      <w:tr>
        <w:tc>
          <w:tcPr>
            <w:tcW w:type="dxa" w:w="29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Comissão de correspondente bancário sobre empréstimos</w:t>
            </w:r>
          </w:p>
        </w:tc>
        <w:tc>
          <w:tcPr>
            <w:tcW w:type="dxa" w:w="4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Faixa de mercado entre 3% e 6% do valor da operação; teto regulatório de 6% à vista definido pelo CMN para consignado</w:t>
            </w:r>
          </w:p>
        </w:tc>
        <w:tc>
          <w:tcPr>
            <w:tcW w:type="dxa" w:w="22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Resolução CMN 3.954/2011; Serasa, Viver de Crédito — pesquisa de julho/2026</w:t>
            </w:r>
          </w:p>
        </w:tc>
      </w:tr>
      <w:tr>
        <w:tc>
          <w:tcPr>
            <w:tcW w:type="dxa" w:w="29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Modelo de referência para crédito com garantia em ativo custodiado</w:t>
            </w:r>
          </w:p>
        </w:tc>
        <w:tc>
          <w:tcPr>
            <w:tcW w:type="dxa" w:w="42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Mercado Bitcoin (MB Pay) libera crédito de até 30% do valor em criptoativos custodiados, atuando como correspondente da QI Sociedade de Crédito Direto</w:t>
            </w:r>
          </w:p>
        </w:tc>
        <w:tc>
          <w:tcPr>
            <w:tcW w:type="dxa" w:w="22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Site institucional do Mercado Bitcoin, 2026</w:t>
            </w:r>
          </w:p>
        </w:tc>
      </w:tr>
      <w:tr>
        <w:tc>
          <w:tcPr>
            <w:tcW w:type="dxa" w:w="29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Tabela de alíquotas do Simples Nacional — Anexo III</w:t>
            </w:r>
          </w:p>
        </w:tc>
        <w:tc>
          <w:tcPr>
            <w:tcW w:type="dxa" w:w="42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Faixas de 6% a 33% sobre a receita bruta dos últimos 12 meses, com parcela a deduzir por faixa</w:t>
            </w:r>
          </w:p>
        </w:tc>
        <w:tc>
          <w:tcPr>
            <w:tcW w:type="dxa" w:w="22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Contabilizei, Contajá, Agilize — tabelas 2026 do Simples Nacional</w:t>
            </w:r>
          </w:p>
        </w:tc>
      </w:tr>
    </w:tbl>
    <w:p>
      <w:pPr>
        <w:pStyle w:val="Heading2"/>
        <w:spacing w:after="120" w:before="280"/>
      </w:pPr>
      <w:r>
        <w:rPr>
          <w:rFonts w:ascii="Arial" w:cs="Arial" w:eastAsia="Arial" w:hAnsi="Arial"/>
          <w:b/>
          <w:bCs/>
          <w:color w:val="0F1E3D"/>
          <w:sz w:val="24"/>
          <w:szCs w:val="24"/>
        </w:rPr>
        <w:t xml:space="preserve">2.3 Regras de negócio confirmadas nas reuniões de conceitualização</w:t>
      </w:r>
    </w:p>
    <w:p>
      <w:pPr>
        <w:spacing w:after="160" w:line="276"/>
        <w:jc w:val="both"/>
      </w:pPr>
      <w:r>
        <w:rPr>
          <w:rFonts w:ascii="Arial" w:cs="Arial" w:eastAsia="Arial" w:hAnsi="Arial"/>
          <w:color w:val="1A1A1A"/>
          <w:sz w:val="20"/>
          <w:szCs w:val="20"/>
        </w:rPr>
        <w:t xml:space="preserve">Os seguintes parâmetros vieram diretamente das reuniões e conversas anteriores (não são pesquisa de mercado, mas decisões já tomadas por vocês) e foram apenas transcritos para a planilha:</w:t>
      </w:r>
    </w:p>
    <w:p>
      <w:pPr>
        <w:pStyle w:val="ListParagraph"/>
        <w:numPr>
          <w:ilvl w:val="0"/>
          <w:numId w:val="2"/>
        </w:numPr>
        <w:spacing w:after="100" w:line="264"/>
      </w:pPr>
      <w:r>
        <w:rPr>
          <w:rFonts w:ascii="Arial" w:cs="Arial" w:eastAsia="Arial" w:hAnsi="Arial"/>
          <w:sz w:val="20"/>
          <w:szCs w:val="20"/>
        </w:rPr>
        <w:t xml:space="preserve">Comissão de negociação: 0,5% sobre o valor da transação + R$1,00 fixo por operação (reunião de 08/07/2026).</w:t>
      </w:r>
    </w:p>
    <w:p>
      <w:pPr>
        <w:pStyle w:val="ListParagraph"/>
        <w:numPr>
          <w:ilvl w:val="0"/>
          <w:numId w:val="2"/>
        </w:numPr>
        <w:spacing w:after="100" w:line="264"/>
      </w:pPr>
      <w:r>
        <w:rPr>
          <w:rFonts w:ascii="Arial" w:cs="Arial" w:eastAsia="Arial" w:hAnsi="Arial"/>
          <w:sz w:val="20"/>
          <w:szCs w:val="20"/>
        </w:rPr>
        <w:t xml:space="preserve">Faixas de taxa de custódia anual: R$5 (1 moeda), R$15 (até 10), R$25 (até 20), R$30 (até 30), R$60 fixo (31–100) — definidas por você no pedido da planilha.</w:t>
      </w:r>
    </w:p>
    <w:p>
      <w:pPr>
        <w:pStyle w:val="ListParagraph"/>
        <w:numPr>
          <w:ilvl w:val="0"/>
          <w:numId w:val="2"/>
        </w:numPr>
        <w:spacing w:after="100" w:line="264"/>
      </w:pPr>
      <w:r>
        <w:rPr>
          <w:rFonts w:ascii="Arial" w:cs="Arial" w:eastAsia="Arial" w:hAnsi="Arial"/>
          <w:sz w:val="20"/>
          <w:szCs w:val="20"/>
        </w:rPr>
        <w:t xml:space="preserve">Cronograma de pagamento a Gabriel: R$4.000/mês por 3 meses (19/06, 19/07 e 19/08/2026) — reunião de 20/06/2026.</w:t>
      </w:r>
    </w:p>
    <w:p>
      <w:pPr>
        <w:pStyle w:val="ListParagraph"/>
        <w:numPr>
          <w:ilvl w:val="0"/>
          <w:numId w:val="2"/>
        </w:numPr>
        <w:spacing w:after="100" w:line="264"/>
      </w:pPr>
      <w:r>
        <w:rPr>
          <w:rFonts w:ascii="Arial" w:cs="Arial" w:eastAsia="Arial" w:hAnsi="Arial"/>
          <w:sz w:val="20"/>
          <w:szCs w:val="20"/>
        </w:rPr>
        <w:t xml:space="preserve">Cronograma de marketing: início no 3º mês pós-lançamento, de R$1.000 a R$10.000 no 6º mês — definido por você no pedido da planilha.</w:t>
      </w:r>
    </w:p>
    <w:p>
      <w:pPr>
        <w:pStyle w:val="Heading1"/>
        <w:pBdr>
          <w:bottom w:val="single" w:color="C9A227" w:sz="12" w:space="4"/>
        </w:pBdr>
        <w:spacing w:after="160" w:before="360"/>
      </w:pPr>
      <w:r>
        <w:rPr>
          <w:rFonts w:ascii="Arial" w:cs="Arial" w:eastAsia="Arial" w:hAnsi="Arial"/>
          <w:b/>
          <w:bCs/>
          <w:color w:val="0F1E3D"/>
          <w:sz w:val="30"/>
          <w:szCs w:val="30"/>
        </w:rPr>
        <w:t xml:space="preserve">3. Explicação das fórmulas da planilha</w:t>
      </w:r>
    </w:p>
    <w:p>
      <w:pPr>
        <w:spacing w:after="160" w:line="276"/>
        <w:jc w:val="both"/>
      </w:pPr>
      <w:r>
        <w:rPr>
          <w:rFonts w:ascii="Arial" w:cs="Arial" w:eastAsia="Arial" w:hAnsi="Arial"/>
          <w:color w:val="1A1A1A"/>
          <w:sz w:val="20"/>
          <w:szCs w:val="20"/>
        </w:rPr>
        <w:t xml:space="preserve">Esta seção percorre as três abas da planilha e explica a lógica por trás de cada grupo de fórmulas — não célula por célula isoladamente, mas por bloco funcional, já que várias células repetem o mesmo padrão (por exemplo, as fórmulas dos 6 meses são idênticas em estrutura, só mudam de coluna).</w:t>
      </w:r>
    </w:p>
    <w:p>
      <w:pPr>
        <w:spacing w:after="160" w:line="276"/>
        <w:jc w:val="both"/>
      </w:pPr>
      <w:r>
        <w:rPr>
          <w:rFonts w:ascii="Arial" w:cs="Arial" w:eastAsia="Arial" w:hAnsi="Arial"/>
          <w:color w:val="1A1A1A"/>
          <w:sz w:val="20"/>
          <w:szCs w:val="20"/>
        </w:rPr>
        <w:t xml:space="preserve">Uma regra vale para toda a planilha: nenhum resultado foi digitado "pronto". Tudo é fórmula, referenciando premissas isoladas em células próprias — isso significa que, se você mudar qualquer número em azul (uma premissa), a planilha inteira recalcula sozinha, sem precisar mexer em mais nada.</w:t>
      </w:r>
    </w:p>
    <w:p>
      <w:pPr>
        <w:pStyle w:val="Heading2"/>
        <w:spacing w:after="120" w:before="280"/>
      </w:pPr>
      <w:r>
        <w:rPr>
          <w:rFonts w:ascii="Arial" w:cs="Arial" w:eastAsia="Arial" w:hAnsi="Arial"/>
          <w:b/>
          <w:bCs/>
          <w:color w:val="0F1E3D"/>
          <w:sz w:val="24"/>
          <w:szCs w:val="24"/>
        </w:rPr>
        <w:t xml:space="preserve">3.1 Aba Despesas</w:t>
      </w:r>
    </w:p>
    <w:p>
      <w:pPr>
        <w:spacing w:after="80" w:before="200"/>
      </w:pPr>
      <w:r>
        <w:rPr>
          <w:rFonts w:ascii="Arial" w:cs="Arial" w:eastAsia="Arial" w:hAnsi="Arial"/>
          <w:b/>
          <w:bCs/>
          <w:color w:val="C9A227"/>
          <w:sz w:val="21"/>
          <w:szCs w:val="21"/>
        </w:rPr>
        <w:t xml:space="preserve">Total de despesas fixas recorrentes (célula F5)</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=SUMIFS(F14:F999,B14:B999,"Infraestrutura")</w:t>
      </w:r>
    </w:p>
    <w:p>
      <w:pPr>
        <w:spacing w:after="160" w:line="276"/>
        <w:jc w:val="both"/>
      </w:pPr>
      <w:r>
        <w:rPr>
          <w:rFonts w:ascii="Arial" w:cs="Arial" w:eastAsia="Arial" w:hAnsi="Arial"/>
          <w:color w:val="1A1A1A"/>
          <w:sz w:val="20"/>
          <w:szCs w:val="20"/>
        </w:rPr>
        <w:t xml:space="preserve">Essa fórmula soma a coluna "Valor Mensal Equivalente" (F) apenas das linhas cuja Categoria (coluna B) seja "Infraestrutura". Usar SUMIFS em vez de somar um intervalo fixo tem uma vantagem prática: se você adicionar uma nova linha de despesa de infraestrutura no meio da tabela, ela entra automaticamente na soma, sem precisar ajustar a fórmula.</w:t>
      </w:r>
    </w:p>
    <w:p>
      <w:pPr>
        <w:spacing w:after="80" w:before="200"/>
      </w:pPr>
      <w:r>
        <w:rPr>
          <w:rFonts w:ascii="Arial" w:cs="Arial" w:eastAsia="Arial" w:hAnsi="Arial"/>
          <w:b/>
          <w:bCs/>
          <w:color w:val="C9A227"/>
          <w:sz w:val="21"/>
          <w:szCs w:val="21"/>
        </w:rPr>
        <w:t xml:space="preserve">Valor Mensal Equivalente (coluna F, todas as linhas)</w:t>
      </w:r>
    </w:p>
    <w:p>
      <w:pPr>
        <w:spacing w:after="160" w:line="276"/>
        <w:jc w:val="both"/>
      </w:pPr>
      <w:r>
        <w:rPr>
          <w:rFonts w:ascii="Arial" w:cs="Arial" w:eastAsia="Arial" w:hAnsi="Arial"/>
          <w:sz w:val="20"/>
          <w:szCs w:val="20"/>
        </w:rPr>
        <w:t xml:space="preserve">Fórmula (para item anual): </w:t>
      </w:r>
      <w:r>
        <w:rPr>
          <w:rFonts w:ascii="Arial" w:cs="Arial" w:eastAsia="Arial" w:hAnsi="Arial"/>
          <w:b/>
          <w:bCs/>
          <w:sz w:val="20"/>
          <w:szCs w:val="20"/>
        </w:rPr>
        <w:t xml:space="preserve">=E17/12</w:t>
      </w:r>
      <w:r>
        <w:rPr>
          <w:rFonts w:ascii="Arial" w:cs="Arial" w:eastAsia="Arial" w:hAnsi="Arial"/>
          <w:sz w:val="20"/>
          <w:szCs w:val="20"/>
        </w:rPr>
        <w:t xml:space="preserve">   |   Fórmula (para item mensal): </w:t>
      </w:r>
      <w:r>
        <w:rPr>
          <w:rFonts w:ascii="Arial" w:cs="Arial" w:eastAsia="Arial" w:hAnsi="Arial"/>
          <w:b/>
          <w:bCs/>
          <w:sz w:val="20"/>
          <w:szCs w:val="20"/>
        </w:rPr>
        <w:t xml:space="preserve">=E14</w:t>
      </w:r>
      <w:r>
        <w:rPr>
          <w:rFonts w:ascii="Arial" w:cs="Arial" w:eastAsia="Arial" w:hAnsi="Arial"/>
          <w:sz w:val="20"/>
          <w:szCs w:val="20"/>
        </w:rPr>
        <w:t xml:space="preserve">   |   Item de pagamento único: </w:t>
      </w:r>
      <w:r>
        <w:rPr>
          <w:rFonts w:ascii="Arial" w:cs="Arial" w:eastAsia="Arial" w:hAnsi="Arial"/>
          <w:b/>
          <w:bCs/>
          <w:sz w:val="20"/>
          <w:szCs w:val="20"/>
        </w:rPr>
        <w:t xml:space="preserve">0</w:t>
      </w:r>
    </w:p>
    <w:p>
      <w:pPr>
        <w:spacing w:after="160" w:line="276"/>
        <w:jc w:val="both"/>
      </w:pPr>
      <w:r>
        <w:rPr>
          <w:rFonts w:ascii="Arial" w:cs="Arial" w:eastAsia="Arial" w:hAnsi="Arial"/>
          <w:color w:val="1A1A1A"/>
          <w:sz w:val="20"/>
          <w:szCs w:val="20"/>
        </w:rPr>
        <w:t xml:space="preserve">Essa coluna existe para permitir comparar despesas de períodos diferentes (mensal, anual, única) numa base comum. O domínio, por exemplo, custa R$171,95 por ano — dividido por 12, equivale a R$14,33/mês. Sem essa conversão, a soma do teto de R$1.500/mês ficaria incorreta, pois estaria comparando maçãs com laranjas (um gasto anual inteiro contra gastos mensais).</w:t>
      </w:r>
    </w:p>
    <w:p>
      <w:pPr>
        <w:spacing w:after="80" w:before="200"/>
      </w:pPr>
      <w:r>
        <w:rPr>
          <w:rFonts w:ascii="Arial" w:cs="Arial" w:eastAsia="Arial" w:hAnsi="Arial"/>
          <w:b/>
          <w:bCs/>
          <w:color w:val="C9A227"/>
          <w:sz w:val="21"/>
          <w:szCs w:val="21"/>
        </w:rPr>
        <w:t xml:space="preserve">Status frente ao limite (célula F7)</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=IF(F5&lt;=F6,"Dentro do limite ✓","Acima do limite ✗")</w:t>
      </w:r>
    </w:p>
    <w:p>
      <w:pPr>
        <w:spacing w:after="160" w:line="276"/>
        <w:jc w:val="both"/>
      </w:pPr>
      <w:r>
        <w:rPr>
          <w:rFonts w:ascii="Arial" w:cs="Arial" w:eastAsia="Arial" w:hAnsi="Arial"/>
          <w:color w:val="1A1A1A"/>
          <w:sz w:val="20"/>
          <w:szCs w:val="20"/>
        </w:rPr>
        <w:t xml:space="preserve">Compara o total calculado (F5) com o teto definido por vocês (F6, uma célula azul editável = R$1.500). Isso está ligado a uma formatação condicional que pinta o texto de verde ou vermelho automaticamente.</w:t>
      </w:r>
    </w:p>
    <w:p>
      <w:pPr>
        <w:spacing w:after="80" w:before="200"/>
      </w:pPr>
      <w:r>
        <w:rPr>
          <w:rFonts w:ascii="Arial" w:cs="Arial" w:eastAsia="Arial" w:hAnsi="Arial"/>
          <w:b/>
          <w:bCs/>
          <w:color w:val="C9A227"/>
          <w:sz w:val="21"/>
          <w:szCs w:val="21"/>
        </w:rPr>
        <w:t xml:space="preserve">Referências à aba Dashboard (linhas de Marketing e Seguro, e célula F10)</w:t>
      </w:r>
    </w:p>
    <w:p>
      <w:pPr>
        <w:spacing w:after="160" w:line="276"/>
        <w:jc w:val="both"/>
      </w:pPr>
      <w:r>
        <w:rPr>
          <w:rFonts w:ascii="Arial" w:cs="Arial" w:eastAsia="Arial" w:hAnsi="Arial"/>
          <w:sz w:val="20"/>
          <w:szCs w:val="20"/>
        </w:rPr>
        <w:t xml:space="preserve">Fórmula (linha Marketing, coluna E): </w:t>
      </w:r>
      <w:r>
        <w:rPr>
          <w:rFonts w:ascii="Arial" w:cs="Arial" w:eastAsia="Arial" w:hAnsi="Arial"/>
          <w:b/>
          <w:bCs/>
          <w:sz w:val="20"/>
          <w:szCs w:val="20"/>
        </w:rPr>
        <w:t xml:space="preserve">=AVERAGE(Dashboard!C29:H29)</w:t>
      </w:r>
    </w:p>
    <w:p>
      <w:pPr>
        <w:spacing w:after="160" w:line="276"/>
        <w:jc w:val="both"/>
      </w:pPr>
      <w:r>
        <w:rPr>
          <w:rFonts w:ascii="Arial" w:cs="Arial" w:eastAsia="Arial" w:hAnsi="Arial"/>
          <w:color w:val="1A1A1A"/>
          <w:sz w:val="20"/>
          <w:szCs w:val="20"/>
        </w:rPr>
        <w:t xml:space="preserve">Marketing e Seguro não têm um valor fixo mensal — eles crescem mês a mês, então o valor "oficial" de cada um está calculado na aba Dashboard, mês a mês. Aqui na aba Despesas, essas duas linhas apenas trazem a média dos 6 meses como referência resumida (para não deixar a célula vazia), com uma nota explícita direcionando para o detalhamento completo no Dashboard. O texto em verde-itálico nessas células é a nossa convenção visual para "isto é uma referência vinda de outra aba", diferente de uma fórmula local (preto) ou de um valor digitado (azul).</w:t>
      </w:r>
    </w:p>
    <w:p>
      <w:pPr>
        <w:pStyle w:val="Heading2"/>
        <w:spacing w:after="120" w:before="280"/>
      </w:pPr>
      <w:r>
        <w:rPr>
          <w:rFonts w:ascii="Arial" w:cs="Arial" w:eastAsia="Arial" w:hAnsi="Arial"/>
          <w:b/>
          <w:bCs/>
          <w:color w:val="0F1E3D"/>
          <w:sz w:val="24"/>
          <w:szCs w:val="24"/>
        </w:rPr>
        <w:t xml:space="preserve">3.2 Aba Faturamento</w:t>
      </w:r>
    </w:p>
    <w:p>
      <w:pPr>
        <w:spacing w:after="80" w:before="200"/>
      </w:pPr>
      <w:r>
        <w:rPr>
          <w:rFonts w:ascii="Arial" w:cs="Arial" w:eastAsia="Arial" w:hAnsi="Arial"/>
          <w:b/>
          <w:bCs/>
          <w:color w:val="C9A227"/>
          <w:sz w:val="21"/>
          <w:szCs w:val="21"/>
        </w:rPr>
        <w:t xml:space="preserve">Parâmetros isolados (comissões e taxas)</w:t>
      </w:r>
    </w:p>
    <w:p>
      <w:pPr>
        <w:spacing w:after="160" w:line="276"/>
        <w:jc w:val="both"/>
      </w:pPr>
      <w:r>
        <w:rPr>
          <w:rFonts w:ascii="Arial" w:cs="Arial" w:eastAsia="Arial" w:hAnsi="Arial"/>
          <w:color w:val="1A1A1A"/>
          <w:sz w:val="20"/>
          <w:szCs w:val="20"/>
        </w:rPr>
        <w:t xml:space="preserve">Antes de qualquer cálculo, a planilha isola em células próprias os números que podem mudar: comissão percentual de negociação (0,5%), taxa fixa por negociação (R$1,00), comissão sobre empréstimo (3%), valor médio do empréstimo (R$6.500) e percentual de usuários que usam crédito com garantia (1%). Todas as fórmulas de receita apontam para essas células em vez de ter o número "cravado" dentro da fórmula. Essa é uma prática padrão de modelagem financeira: você muda a comissão de 0,5% para 0,6% em um único lugar, e todos os 6 meses recalculam.</w:t>
      </w:r>
    </w:p>
    <w:p>
      <w:pPr>
        <w:spacing w:after="80" w:before="200"/>
      </w:pPr>
      <w:r>
        <w:rPr>
          <w:rFonts w:ascii="Arial" w:cs="Arial" w:eastAsia="Arial" w:hAnsi="Arial"/>
          <w:b/>
          <w:bCs/>
          <w:color w:val="C9A227"/>
          <w:sz w:val="21"/>
          <w:szCs w:val="21"/>
        </w:rPr>
        <w:t xml:space="preserve">Distribuições ponderadas — negociações e moedas por usuário (SUMPRODUCT)</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=SUMPRODUCT(A14:A16,B14:B16)</w:t>
      </w:r>
    </w:p>
    <w:p>
      <w:pPr>
        <w:spacing w:after="160" w:line="276"/>
        <w:jc w:val="both"/>
      </w:pPr>
      <w:r>
        <w:rPr>
          <w:rFonts w:ascii="Arial" w:cs="Arial" w:eastAsia="Arial" w:hAnsi="Arial"/>
          <w:color w:val="1A1A1A"/>
          <w:sz w:val="20"/>
          <w:szCs w:val="20"/>
        </w:rPr>
        <w:t xml:space="preserve">Você definiu que 70% dos usuários fazem 1 negociação/mês, 20% fazem 3, e 10% fazem 10. Em vez de eu simplesmente calcular a média "na mão" e digitar o resultado (2,3), a planilha usa SUMPRODUCT, que multiplica cada percentual pelo respectivo valor e soma tudo: (0,70×1) + (0,20×3) + (0,10×10) = 0,70 + 0,60 + 1,00 = 2,3 negociações/usuário/mês. A mesma lógica calcula a média ponderada de moedas enviadas por novo usuário (7,5 moedas) e a taxa de custódia média por novo usuário (R$16,00). A vantagem de usar a fórmula em vez do número pronto: se amanhã vocês decidirem que a distribuição é 60/25/15 em vez de 70/20/10, basta mudar as 3 células azuis — o resto recalcula sozinho.</w:t>
      </w:r>
    </w:p>
    <w:p>
      <w:pPr>
        <w:spacing w:after="80" w:before="200"/>
      </w:pPr>
      <w:r>
        <w:rPr>
          <w:rFonts w:ascii="Arial" w:cs="Arial" w:eastAsia="Arial" w:hAnsi="Arial"/>
          <w:b/>
          <w:bCs/>
          <w:color w:val="C9A227"/>
          <w:sz w:val="21"/>
          <w:szCs w:val="21"/>
        </w:rPr>
        <w:t xml:space="preserve">Taxa de custódia aplicável por faixa (IF aninhado)</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=IF(G14&lt;=$J$14,$K$14,IF(G14&lt;=$J$15,$K$15,IF(G14&lt;=$J$16,$K$16,IF(G14&lt;=$J$17,$K$17,$K$18))))</w:t>
      </w:r>
    </w:p>
    <w:p>
      <w:pPr>
        <w:spacing w:after="160" w:line="276"/>
        <w:jc w:val="both"/>
      </w:pPr>
      <w:r>
        <w:rPr>
          <w:rFonts w:ascii="Arial" w:cs="Arial" w:eastAsia="Arial" w:hAnsi="Arial"/>
          <w:color w:val="1A1A1A"/>
          <w:sz w:val="20"/>
          <w:szCs w:val="20"/>
        </w:rPr>
        <w:t xml:space="preserve">Essa fórmula testa a quantidade de moedas (célula G14) contra as faixas definidas na tabelinha de referência ao lado (coluna J = "até quantas moedas", coluna K = "taxa correspondente"): até 1 moeda → R$5; até 10 → R$15; até 20 → R$25; até 30 → R$30; senão → R$60. Optei por um IF aninhado simples em vez de uma fórmula de busca (como PROCV/VLOOKUP) porque são só 5 faixas fixas e o IF aninhado é mais fácil de auditar visualmente — qualquer pessoa consegue ler a fórmula e entender a regra sem precisar montar uma tabela auxiliar separada. Se as faixas mudarem de valor, basta editar as células J e K (azul) — a fórmula continua funcionando.</w:t>
      </w:r>
    </w:p>
    <w:p>
      <w:pPr>
        <w:spacing w:after="80" w:before="200"/>
      </w:pPr>
      <w:r>
        <w:rPr>
          <w:rFonts w:ascii="Arial" w:cs="Arial" w:eastAsia="Arial" w:hAnsi="Arial"/>
          <w:b/>
          <w:bCs/>
          <w:color w:val="C9A227"/>
          <w:sz w:val="21"/>
          <w:szCs w:val="21"/>
        </w:rPr>
        <w:t xml:space="preserve">Linha do tempo de crescimento — interpolação entre os meses 1, 3 e 6</w:t>
      </w:r>
    </w:p>
    <w:p>
      <w:pPr>
        <w:spacing w:after="160" w:line="276"/>
        <w:jc w:val="both"/>
      </w:pPr>
      <w:r>
        <w:rPr>
          <w:rFonts w:ascii="Arial" w:cs="Arial" w:eastAsia="Arial" w:hAnsi="Arial"/>
          <w:color w:val="1A1A1A"/>
          <w:sz w:val="20"/>
          <w:szCs w:val="20"/>
        </w:rPr>
        <w:t xml:space="preserve">Vocês me passaram números de usuários e preço da moeda apenas para os meses 1, 3 e 6 pós-lançamento (checkpoints). Os meses 2, 4 e 5 não foram informados, então a planilha os preenche por interpolação linear — ou seja, assume um crescimento constante entre dois pontos conhecidos, dividindo a diferença em partes iguais.</w:t>
      </w:r>
    </w:p>
    <w:p>
      <w:pPr>
        <w:spacing w:after="160" w:line="276"/>
        <w:jc w:val="both"/>
      </w:pPr>
      <w:r>
        <w:rPr>
          <w:rFonts w:ascii="Arial" w:cs="Arial" w:eastAsia="Arial" w:hAnsi="Arial"/>
          <w:sz w:val="20"/>
          <w:szCs w:val="20"/>
        </w:rPr>
        <w:t xml:space="preserve">Mês 2 (entre os meses 1 e 3): </w:t>
      </w:r>
      <w:r>
        <w:rPr>
          <w:rFonts w:ascii="Arial" w:cs="Arial" w:eastAsia="Arial" w:hAnsi="Arial"/>
          <w:b/>
          <w:bCs/>
          <w:sz w:val="20"/>
          <w:szCs w:val="20"/>
        </w:rPr>
        <w:t xml:space="preserve">=B21+(B23-B21)/2</w:t>
      </w:r>
    </w:p>
    <w:p>
      <w:pPr>
        <w:spacing w:after="160" w:line="276"/>
        <w:jc w:val="both"/>
      </w:pPr>
      <w:r>
        <w:rPr>
          <w:rFonts w:ascii="Arial" w:cs="Arial" w:eastAsia="Arial" w:hAnsi="Arial"/>
          <w:sz w:val="20"/>
          <w:szCs w:val="20"/>
        </w:rPr>
        <w:t xml:space="preserve">Mês 4 (entre os meses 3 e 6): </w:t>
      </w:r>
      <w:r>
        <w:rPr>
          <w:rFonts w:ascii="Arial" w:cs="Arial" w:eastAsia="Arial" w:hAnsi="Arial"/>
          <w:b/>
          <w:bCs/>
          <w:sz w:val="20"/>
          <w:szCs w:val="20"/>
        </w:rPr>
        <w:t xml:space="preserve">=B23+(B26-B23)/3</w:t>
      </w:r>
    </w:p>
    <w:p>
      <w:pPr>
        <w:spacing w:after="160" w:line="276"/>
        <w:jc w:val="both"/>
      </w:pPr>
      <w:r>
        <w:rPr>
          <w:rFonts w:ascii="Arial" w:cs="Arial" w:eastAsia="Arial" w:hAnsi="Arial"/>
          <w:sz w:val="20"/>
          <w:szCs w:val="20"/>
        </w:rPr>
        <w:t xml:space="preserve">Mês 5 (entre os meses 3 e 6): </w:t>
      </w:r>
      <w:r>
        <w:rPr>
          <w:rFonts w:ascii="Arial" w:cs="Arial" w:eastAsia="Arial" w:hAnsi="Arial"/>
          <w:b/>
          <w:bCs/>
          <w:sz w:val="20"/>
          <w:szCs w:val="20"/>
        </w:rPr>
        <w:t xml:space="preserve">=B23+2*(B26-B23)/3</w:t>
      </w:r>
    </w:p>
    <w:p>
      <w:pPr>
        <w:spacing w:after="160" w:line="276"/>
        <w:jc w:val="both"/>
      </w:pPr>
      <w:r>
        <w:rPr>
          <w:rFonts w:ascii="Arial" w:cs="Arial" w:eastAsia="Arial" w:hAnsi="Arial"/>
          <w:color w:val="1A1A1A"/>
          <w:sz w:val="20"/>
          <w:szCs w:val="20"/>
        </w:rPr>
        <w:t xml:space="preserve">Por exemplo: usuários acumulados vão de 1.000 (mês 1) a 5.000 (mês 3) — dois meses de diferença — então o mês 2 recebe exatamente o ponto médio: 3.000 usuários. Entre o mês 3 (5.000) e o mês 6 (10.000) há três meses de diferença, então os meses 4 e 5 recebem, respectivamente, 1/3 e 2/3 do caminho: 6.667 e 8.333 usuários. O mesmo raciocínio se aplica ao preço médio da moeda. Essa é uma simplificação deliberada e está documentada na própria planilha: crescimento real quase nunca é perfeitamente linear, mas é a estimativa mais razoável com apenas 3 pontos de referência. O ganho prático de usar fórmula em vez de digitar os 6 valores: se você atualizar o número de usuários do mês 3 depois de ver dados reais, os meses 2, 4 e 5 se ajustam automaticamente.</w:t>
      </w:r>
    </w:p>
    <w:p>
      <w:pPr>
        <w:spacing w:after="160" w:line="276"/>
        <w:jc w:val="both"/>
      </w:pPr>
      <w:r>
        <w:rPr>
          <w:rFonts w:ascii="Arial" w:cs="Arial" w:eastAsia="Arial" w:hAnsi="Arial"/>
          <w:sz w:val="20"/>
          <w:szCs w:val="20"/>
        </w:rPr>
        <w:t xml:space="preserve">Novos usuários no mês (coluna C): </w:t>
      </w:r>
      <w:r>
        <w:rPr>
          <w:rFonts w:ascii="Arial" w:cs="Arial" w:eastAsia="Arial" w:hAnsi="Arial"/>
          <w:b/>
          <w:bCs/>
          <w:sz w:val="20"/>
          <w:szCs w:val="20"/>
        </w:rPr>
        <w:t xml:space="preserve">=B22-B21</w:t>
      </w:r>
      <w:r>
        <w:rPr>
          <w:rFonts w:ascii="Arial" w:cs="Arial" w:eastAsia="Arial" w:hAnsi="Arial"/>
          <w:sz w:val="20"/>
          <w:szCs w:val="20"/>
        </w:rPr>
        <w:t xml:space="preserve"> — simplesmente a diferença entre o acumulado deste mês e o do mês anterior. É esse número (não o acumulado) que gera receita de custódia, já que a taxa de custódia é cobrada apenas uma vez, na adesão.</w:t>
      </w:r>
    </w:p>
    <w:p>
      <w:pPr>
        <w:spacing w:after="80" w:before="200"/>
      </w:pPr>
      <w:r>
        <w:rPr>
          <w:rFonts w:ascii="Arial" w:cs="Arial" w:eastAsia="Arial" w:hAnsi="Arial"/>
          <w:b/>
          <w:bCs/>
          <w:color w:val="C9A227"/>
          <w:sz w:val="21"/>
          <w:szCs w:val="21"/>
        </w:rPr>
        <w:t xml:space="preserve">Receita de custódia do mês</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=C21*G21</w:t>
      </w:r>
      <w:r>
        <w:rPr>
          <w:rFonts w:ascii="Arial" w:cs="Arial" w:eastAsia="Arial" w:hAnsi="Arial"/>
          <w:sz w:val="20"/>
          <w:szCs w:val="20"/>
        </w:rPr>
        <w:t xml:space="preserve">  (novos usuários do mês × taxa média de custódia por novo usuário)</w:t>
      </w:r>
    </w:p>
    <w:p>
      <w:pPr>
        <w:spacing w:after="80" w:before="200"/>
      </w:pPr>
      <w:r>
        <w:rPr>
          <w:rFonts w:ascii="Arial" w:cs="Arial" w:eastAsia="Arial" w:hAnsi="Arial"/>
          <w:b/>
          <w:bCs/>
          <w:color w:val="C9A227"/>
          <w:sz w:val="21"/>
          <w:szCs w:val="21"/>
        </w:rPr>
        <w:t xml:space="preserve">Receita de negociação (trading) do mês</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=B21*E21*(0,5%*D21+R$1,00)</w:t>
      </w:r>
      <w:r>
        <w:rPr>
          <w:rFonts w:ascii="Arial" w:cs="Arial" w:eastAsia="Arial" w:hAnsi="Arial"/>
          <w:sz w:val="20"/>
          <w:szCs w:val="20"/>
        </w:rPr>
        <w:t xml:space="preserve">  — na planilha, os percentuais 0,5% e R$1,00 vêm das células de parâmetro, não estão digitados na fórmula</w:t>
      </w:r>
    </w:p>
    <w:p>
      <w:pPr>
        <w:spacing w:after="160" w:line="276"/>
        <w:jc w:val="both"/>
      </w:pPr>
      <w:r>
        <w:rPr>
          <w:rFonts w:ascii="Arial" w:cs="Arial" w:eastAsia="Arial" w:hAnsi="Arial"/>
          <w:color w:val="1A1A1A"/>
          <w:sz w:val="20"/>
          <w:szCs w:val="20"/>
        </w:rPr>
        <w:t xml:space="preserve">Usuários acumulados (não só os novos) × negociações médias por usuário no mês × custo de cada negociação (0,5% do preço médio da moeda naquele mês + R$1,00 fixo). Usar o acumulado de usuários faz sentido aqui porque a receita de trading vem de todo mundo que já está na plataforma negociando, não só de quem entrou naquele mês.</w:t>
      </w:r>
    </w:p>
    <w:p>
      <w:pPr>
        <w:spacing w:after="80" w:before="200"/>
      </w:pPr>
      <w:r>
        <w:rPr>
          <w:rFonts w:ascii="Arial" w:cs="Arial" w:eastAsia="Arial" w:hAnsi="Arial"/>
          <w:b/>
          <w:bCs/>
          <w:color w:val="C9A227"/>
          <w:sz w:val="21"/>
          <w:szCs w:val="21"/>
        </w:rPr>
        <w:t xml:space="preserve">Receita de empréstimo com garantia (só no mês 6)</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=(B26*1%)*R$6.500*3%</w:t>
      </w:r>
    </w:p>
    <w:p>
      <w:pPr>
        <w:spacing w:after="160" w:line="276"/>
        <w:jc w:val="both"/>
      </w:pPr>
      <w:r>
        <w:rPr>
          <w:rFonts w:ascii="Arial" w:cs="Arial" w:eastAsia="Arial" w:hAnsi="Arial"/>
          <w:color w:val="1A1A1A"/>
          <w:sz w:val="20"/>
          <w:szCs w:val="20"/>
        </w:rPr>
        <w:t xml:space="preserve">Conforme sua instrução, só o mês 6 tem essa receita, calculada sobre 1% dos usuários acumulados naquele mês (os mais engajados, com mais moedas acumuladas), cada um pegando em média R$6.500 emprestado, e a Áurea ganhando 3% de comissão sobre o valor liberado — a estimativa de comissão que pesquisei (faixa de mercado 3%–6% para correspondentes bancários). Os meses 1 a 5 têm essa célula fixada em zero.</w:t>
      </w:r>
    </w:p>
    <w:p>
      <w:pPr>
        <w:spacing w:after="80" w:before="200"/>
      </w:pPr>
      <w:r>
        <w:rPr>
          <w:rFonts w:ascii="Arial" w:cs="Arial" w:eastAsia="Arial" w:hAnsi="Arial"/>
          <w:b/>
          <w:bCs/>
          <w:color w:val="C9A227"/>
          <w:sz w:val="21"/>
          <w:szCs w:val="21"/>
        </w:rPr>
        <w:t xml:space="preserve">Receita Bruta Acumulada (RBA) e RBT12 estimado</w:t>
      </w:r>
    </w:p>
    <w:p>
      <w:pPr>
        <w:spacing w:after="160" w:line="276"/>
        <w:jc w:val="both"/>
      </w:pPr>
      <w:r>
        <w:rPr>
          <w:rFonts w:ascii="Arial" w:cs="Arial" w:eastAsia="Arial" w:hAnsi="Arial"/>
          <w:sz w:val="20"/>
          <w:szCs w:val="20"/>
        </w:rPr>
        <w:t xml:space="preserve">RBA (mês 1): </w:t>
      </w:r>
      <w:r>
        <w:rPr>
          <w:rFonts w:ascii="Arial" w:cs="Arial" w:eastAsia="Arial" w:hAnsi="Arial"/>
          <w:b/>
          <w:bCs/>
          <w:sz w:val="20"/>
          <w:szCs w:val="20"/>
        </w:rPr>
        <w:t xml:space="preserve">=E31</w:t>
      </w:r>
      <w:r>
        <w:rPr>
          <w:rFonts w:ascii="Arial" w:cs="Arial" w:eastAsia="Arial" w:hAnsi="Arial"/>
          <w:sz w:val="20"/>
          <w:szCs w:val="20"/>
        </w:rPr>
        <w:t xml:space="preserve">   |   RBA (demais meses): </w:t>
      </w:r>
      <w:r>
        <w:rPr>
          <w:rFonts w:ascii="Arial" w:cs="Arial" w:eastAsia="Arial" w:hAnsi="Arial"/>
          <w:b/>
          <w:bCs/>
          <w:sz w:val="20"/>
          <w:szCs w:val="20"/>
        </w:rPr>
        <w:t xml:space="preserve">=F31+E32</w:t>
      </w:r>
      <w:r>
        <w:rPr>
          <w:rFonts w:ascii="Arial" w:cs="Arial" w:eastAsia="Arial" w:hAnsi="Arial"/>
          <w:sz w:val="20"/>
          <w:szCs w:val="20"/>
        </w:rPr>
        <w:t xml:space="preserve"> (soma acumulada, mês a mês)</w:t>
      </w:r>
    </w:p>
    <w:p>
      <w:pPr>
        <w:spacing w:after="160" w:line="276"/>
        <w:jc w:val="both"/>
      </w:pPr>
      <w:r>
        <w:rPr>
          <w:rFonts w:ascii="Arial" w:cs="Arial" w:eastAsia="Arial" w:hAnsi="Arial"/>
          <w:sz w:val="20"/>
          <w:szCs w:val="20"/>
        </w:rPr>
        <w:t xml:space="preserve">RBT12 estimado: </w:t>
      </w:r>
      <w:r>
        <w:rPr>
          <w:rFonts w:ascii="Arial" w:cs="Arial" w:eastAsia="Arial" w:hAnsi="Arial"/>
          <w:b/>
          <w:bCs/>
          <w:sz w:val="20"/>
          <w:szCs w:val="20"/>
        </w:rPr>
        <w:t xml:space="preserve">=F31*12/A31</w:t>
      </w:r>
    </w:p>
    <w:p>
      <w:pPr>
        <w:spacing w:after="160" w:line="276"/>
        <w:jc w:val="both"/>
      </w:pPr>
      <w:r>
        <w:rPr>
          <w:rFonts w:ascii="Arial" w:cs="Arial" w:eastAsia="Arial" w:hAnsi="Arial"/>
          <w:color w:val="1A1A1A"/>
          <w:sz w:val="20"/>
          <w:szCs w:val="20"/>
        </w:rPr>
        <w:t xml:space="preserve">Isso merece uma explicação à parte porque não é um cálculo trivial: para efeito de Simples Nacional, a alíquota de cada mês depende da Receita Bruta dos últimos 12 meses (RBT12) — mas a Áurea Custódia, por ser uma empresa em seu primeiro ano de operação, ainda não tem 12 meses de histórico. Nesse caso, a regra do Simples Nacional (Resolução CGSN) manda projetar: pega-se a receita acumulada desde a abertura e multiplica por (12 dividido pelo número de meses já operados). No mês 1, a receita do próprio mês é multiplicada por 12 — funciona como um "e se todo mês fosse assim". No mês 6, a receita acumulada dos 6 meses é multiplicada por 2. Esse RBT12 estimado é só o que decide em qual faixa de alíquota a empresa cai naquele mês — não é dinheiro que a empresa efetivamente faturou.</w:t>
      </w:r>
    </w:p>
    <w:p>
      <w:pPr>
        <w:spacing w:after="80" w:before="200"/>
      </w:pPr>
      <w:r>
        <w:rPr>
          <w:rFonts w:ascii="Arial" w:cs="Arial" w:eastAsia="Arial" w:hAnsi="Arial"/>
          <w:b/>
          <w:bCs/>
          <w:color w:val="C9A227"/>
          <w:sz w:val="21"/>
          <w:szCs w:val="21"/>
        </w:rPr>
        <w:t xml:space="preserve">Alíquota efetiva do Simples Nacional (INDEX + MATCH)</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=(G31*INDEX($N$31:$N$36,MATCH(G31,$M$31:$M$36,1))-INDEX($O$31:$O$36,MATCH(G31,$M$31:$M$36,1)))/G31</w:t>
      </w:r>
    </w:p>
    <w:p>
      <w:pPr>
        <w:spacing w:after="160" w:line="276"/>
        <w:jc w:val="both"/>
      </w:pPr>
      <w:r>
        <w:rPr>
          <w:rFonts w:ascii="Arial" w:cs="Arial" w:eastAsia="Arial" w:hAnsi="Arial"/>
          <w:color w:val="1A1A1A"/>
          <w:sz w:val="20"/>
          <w:szCs w:val="20"/>
        </w:rPr>
        <w:t xml:space="preserve">Esta é a fórmula mais técnica da planilha, então vale destrinchar. Ao lado da tabela de receita, montei uma tabela de referência com as 6 faixas do Simples Nacional — Anexo III (colunas L a O: número da faixa, piso de receita bruta, alíquota nominal e parcela a deduzir). A fórmula funciona em duas etapas:</w:t>
      </w:r>
    </w:p>
    <w:p>
      <w:pPr>
        <w:pStyle w:val="ListParagraph"/>
        <w:numPr>
          <w:ilvl w:val="0"/>
          <w:numId w:val="3"/>
        </w:numPr>
        <w:spacing w:after="100" w:line="264"/>
      </w:pPr>
      <w:r>
        <w:rPr>
          <w:rFonts w:ascii="Arial" w:cs="Arial" w:eastAsia="Arial" w:hAnsi="Arial"/>
          <w:sz w:val="20"/>
          <w:szCs w:val="20"/>
        </w:rPr>
        <w:t xml:space="preserve">MATCH(G31,$M$31:$M$36,1) — procura o RBT12 estimado (G31) dentro da coluna de "piso de cada faixa" (M31:M36) e devolve a posição da maior faixa cujo piso ainda é menor ou igual ao RBT12. É assim que a fórmula descobre "em qual das 6 faixas esse RBT12 se encaixa".</w:t>
      </w:r>
    </w:p>
    <w:p>
      <w:pPr>
        <w:pStyle w:val="ListParagraph"/>
        <w:numPr>
          <w:ilvl w:val="0"/>
          <w:numId w:val="3"/>
        </w:numPr>
        <w:spacing w:after="100" w:line="264"/>
      </w:pPr>
      <w:r>
        <w:rPr>
          <w:rFonts w:ascii="Arial" w:cs="Arial" w:eastAsia="Arial" w:hAnsi="Arial"/>
          <w:sz w:val="20"/>
          <w:szCs w:val="20"/>
        </w:rPr>
        <w:t xml:space="preserve">INDEX(...) usa essa posição para buscar, nas colunas N (alíquota nominal) e O (parcela a deduzir), os dois valores da faixa encontrada.</w:t>
      </w:r>
    </w:p>
    <w:p>
      <w:pPr>
        <w:spacing w:after="160" w:line="276"/>
        <w:jc w:val="both"/>
      </w:pPr>
      <w:r>
        <w:rPr>
          <w:rFonts w:ascii="Arial" w:cs="Arial" w:eastAsia="Arial" w:hAnsi="Arial"/>
          <w:color w:val="1A1A1A"/>
          <w:sz w:val="20"/>
          <w:szCs w:val="20"/>
        </w:rPr>
        <w:t xml:space="preserve">Com a alíquota nominal e a parcela a deduzir em mãos, a fórmula aplica a fórmula oficial do Simples Nacional: Alíquota Efetiva = [(RBT12 × Alíquota Nominal) − Parcela a Deduzir] ÷ RBT12. Optei por INDEX/MATCH em vez de uma cascata de 6 IFs porque, com 6 faixas, o IF aninhado ficaria ilegível — e porque INDEX/MATCH é compatível tanto com Excel quanto com Google Sheets (diferente de funções mais novas como PROCX, que o Google Sheets às vezes não replica da mesma forma).</w:t>
      </w:r>
    </w:p>
    <w:p>
      <w:pPr>
        <w:spacing w:after="80" w:before="200"/>
      </w:pPr>
      <w:r>
        <w:rPr>
          <w:rFonts w:ascii="Arial" w:cs="Arial" w:eastAsia="Arial" w:hAnsi="Arial"/>
          <w:b/>
          <w:bCs/>
          <w:color w:val="C9A227"/>
          <w:sz w:val="21"/>
          <w:szCs w:val="21"/>
        </w:rPr>
        <w:t xml:space="preserve">Impostos estimados e Receita Líquida</w:t>
      </w:r>
    </w:p>
    <w:p>
      <w:pPr>
        <w:spacing w:after="160" w:line="276"/>
        <w:jc w:val="both"/>
      </w:pPr>
      <w:r>
        <w:rPr>
          <w:rFonts w:ascii="Arial" w:cs="Arial" w:eastAsia="Arial" w:hAnsi="Arial"/>
          <w:sz w:val="20"/>
          <w:szCs w:val="20"/>
        </w:rPr>
        <w:t xml:space="preserve">Impostos: </w:t>
      </w:r>
      <w:r>
        <w:rPr>
          <w:rFonts w:ascii="Arial" w:cs="Arial" w:eastAsia="Arial" w:hAnsi="Arial"/>
          <w:b/>
          <w:bCs/>
          <w:sz w:val="20"/>
          <w:szCs w:val="20"/>
        </w:rPr>
        <w:t xml:space="preserve">=E31*H31</w:t>
      </w:r>
      <w:r>
        <w:rPr>
          <w:rFonts w:ascii="Arial" w:cs="Arial" w:eastAsia="Arial" w:hAnsi="Arial"/>
          <w:sz w:val="20"/>
          <w:szCs w:val="20"/>
        </w:rPr>
        <w:t xml:space="preserve">  (receita total do mês × alíquota efetiva)   |   Receita líquida: </w:t>
      </w:r>
      <w:r>
        <w:rPr>
          <w:rFonts w:ascii="Arial" w:cs="Arial" w:eastAsia="Arial" w:hAnsi="Arial"/>
          <w:b/>
          <w:bCs/>
          <w:sz w:val="20"/>
          <w:szCs w:val="20"/>
        </w:rPr>
        <w:t xml:space="preserve">=E31-I31</w:t>
      </w:r>
    </w:p>
    <w:p>
      <w:pPr>
        <w:pStyle w:val="Heading2"/>
        <w:spacing w:after="120" w:before="280"/>
      </w:pPr>
      <w:r>
        <w:rPr>
          <w:rFonts w:ascii="Arial" w:cs="Arial" w:eastAsia="Arial" w:hAnsi="Arial"/>
          <w:b/>
          <w:bCs/>
          <w:color w:val="0F1E3D"/>
          <w:sz w:val="24"/>
          <w:szCs w:val="24"/>
        </w:rPr>
        <w:t xml:space="preserve">3.3 Aba Dashboard</w:t>
      </w:r>
    </w:p>
    <w:p>
      <w:pPr>
        <w:spacing w:after="80" w:before="200"/>
      </w:pPr>
      <w:r>
        <w:rPr>
          <w:rFonts w:ascii="Arial" w:cs="Arial" w:eastAsia="Arial" w:hAnsi="Arial"/>
          <w:b/>
          <w:bCs/>
          <w:color w:val="C9A227"/>
          <w:sz w:val="21"/>
          <w:szCs w:val="21"/>
        </w:rPr>
        <w:t xml:space="preserve">Seletor de mês e cartões de KPI (INDEX)</w:t>
      </w:r>
    </w:p>
    <w:p>
      <w:pPr>
        <w:spacing w:after="160" w:line="276"/>
        <w:jc w:val="both"/>
      </w:pPr>
      <w:r>
        <w:rPr>
          <w:rFonts w:ascii="Arial" w:cs="Arial" w:eastAsia="Arial" w:hAnsi="Arial"/>
          <w:sz w:val="20"/>
          <w:szCs w:val="20"/>
        </w:rPr>
        <w:t xml:space="preserve">Fórmula do cartão "Receita do mês": </w:t>
      </w:r>
      <w:r>
        <w:rPr>
          <w:rFonts w:ascii="Arial" w:cs="Arial" w:eastAsia="Arial" w:hAnsi="Arial"/>
          <w:b/>
          <w:bCs/>
          <w:sz w:val="20"/>
          <w:szCs w:val="20"/>
        </w:rPr>
        <w:t xml:space="preserve">=IF($G$5="Bruta",INDEX(C25:H25,1,$C$5),INDEX(C27:H27,1,$C$5))</w:t>
      </w:r>
    </w:p>
    <w:p>
      <w:pPr>
        <w:spacing w:after="160" w:line="276"/>
        <w:jc w:val="both"/>
      </w:pPr>
      <w:r>
        <w:rPr>
          <w:rFonts w:ascii="Arial" w:cs="Arial" w:eastAsia="Arial" w:hAnsi="Arial"/>
          <w:color w:val="1A1A1A"/>
          <w:sz w:val="20"/>
          <w:szCs w:val="20"/>
        </w:rPr>
        <w:t xml:space="preserve">A célula C5 é uma lista suspensa (1 a 6) — é o "botão" que você usa para escolher qual mês visualizar. INDEX(C25:H25,1,$C$5) olha para a linha de Receita Bruta Total (que tem 6 colunas, uma por mês) e devolve o valor da posição indicada por C5. Se C5 = 6, INDEX devolve o 6º valor da linha, ou seja, a receita do mês 6. Usei INDEX puro (sem MATCH) porque aqui não é preciso "procurar" nada — o número do mês já é diretamente a posição na lista. O segundo dropdown (G5, "Bruta" ou "Líquida") decide se o cartão mostra a receita antes ou depois dos impostos, usando um IF simples por cima do INDEX.</w:t>
      </w:r>
    </w:p>
    <w:p>
      <w:pPr>
        <w:spacing w:after="80" w:before="200"/>
      </w:pPr>
      <w:r>
        <w:rPr>
          <w:rFonts w:ascii="Arial" w:cs="Arial" w:eastAsia="Arial" w:hAnsi="Arial"/>
          <w:b/>
          <w:bCs/>
          <w:color w:val="C9A227"/>
          <w:sz w:val="21"/>
          <w:szCs w:val="21"/>
        </w:rPr>
        <w:t xml:space="preserve">Tabela mensal (linhas 25 a 33)</w:t>
      </w:r>
    </w:p>
    <w:p>
      <w:pPr>
        <w:spacing w:after="160" w:line="276"/>
        <w:jc w:val="both"/>
      </w:pPr>
      <w:r>
        <w:rPr>
          <w:rFonts w:ascii="Arial" w:cs="Arial" w:eastAsia="Arial" w:hAnsi="Arial"/>
          <w:color w:val="1A1A1A"/>
          <w:sz w:val="20"/>
          <w:szCs w:val="20"/>
        </w:rPr>
        <w:t xml:space="preserve">Essa é a espinha dorsal da aba: uma tabela onde cada linha é uma métrica (Receita Bruta, Impostos, Receita Líquida, Infraestrutura, Marketing, Seguro, Despesas Totais, Lucro Líquido, Margem) e cada coluna é um mês (1 a 6). Receita Bruta e Impostos vêm por referência direta da aba Faturamento (ex.: =Faturamento!E31). Infraestrutura fixa repete o mesmo valor em todos os 6 meses (=Despesas!$F$5, com $ para travar a referência e poder arrastar a fórmula para os lados sem ela se mover).</w:t>
      </w:r>
    </w:p>
    <w:p>
      <w:pPr>
        <w:spacing w:after="80" w:before="200"/>
      </w:pPr>
      <w:r>
        <w:rPr>
          <w:rFonts w:ascii="Arial" w:cs="Arial" w:eastAsia="Arial" w:hAnsi="Arial"/>
          <w:b/>
          <w:bCs/>
          <w:color w:val="C9A227"/>
          <w:sz w:val="21"/>
          <w:szCs w:val="21"/>
        </w:rPr>
        <w:t xml:space="preserve">Cronograma de marketing (rampa)</w:t>
      </w:r>
    </w:p>
    <w:p>
      <w:pPr>
        <w:spacing w:after="160" w:line="276"/>
        <w:jc w:val="both"/>
      </w:pPr>
      <w:r>
        <w:rPr>
          <w:rFonts w:ascii="Arial" w:cs="Arial" w:eastAsia="Arial" w:hAnsi="Arial"/>
          <w:sz w:val="20"/>
          <w:szCs w:val="20"/>
        </w:rPr>
        <w:t xml:space="preserve">Mês 3 (início, azul): </w:t>
      </w:r>
      <w:r>
        <w:rPr>
          <w:rFonts w:ascii="Arial" w:cs="Arial" w:eastAsia="Arial" w:hAnsi="Arial"/>
          <w:b/>
          <w:bCs/>
          <w:sz w:val="20"/>
          <w:szCs w:val="20"/>
        </w:rPr>
        <w:t xml:space="preserve">R$ 1.000</w:t>
      </w:r>
      <w:r>
        <w:rPr>
          <w:rFonts w:ascii="Arial" w:cs="Arial" w:eastAsia="Arial" w:hAnsi="Arial"/>
          <w:sz w:val="20"/>
          <w:szCs w:val="20"/>
        </w:rPr>
        <w:t xml:space="preserve">   |   Mês 6 (azul): </w:t>
      </w:r>
      <w:r>
        <w:rPr>
          <w:rFonts w:ascii="Arial" w:cs="Arial" w:eastAsia="Arial" w:hAnsi="Arial"/>
          <w:b/>
          <w:bCs/>
          <w:sz w:val="20"/>
          <w:szCs w:val="20"/>
        </w:rPr>
        <w:t xml:space="preserve">R$ 10.000</w:t>
      </w:r>
    </w:p>
    <w:p>
      <w:pPr>
        <w:spacing w:after="160" w:line="276"/>
        <w:jc w:val="both"/>
      </w:pPr>
      <w:r>
        <w:rPr>
          <w:rFonts w:ascii="Arial" w:cs="Arial" w:eastAsia="Arial" w:hAnsi="Arial"/>
          <w:sz w:val="20"/>
          <w:szCs w:val="20"/>
        </w:rPr>
        <w:t xml:space="preserve">Mês 4: </w:t>
      </w:r>
      <w:r>
        <w:rPr>
          <w:rFonts w:ascii="Arial" w:cs="Arial" w:eastAsia="Arial" w:hAnsi="Arial"/>
          <w:b/>
          <w:bCs/>
          <w:sz w:val="20"/>
          <w:szCs w:val="20"/>
        </w:rPr>
        <w:t xml:space="preserve">=E29+(H29-E29)/3</w:t>
      </w:r>
      <w:r>
        <w:rPr>
          <w:rFonts w:ascii="Arial" w:cs="Arial" w:eastAsia="Arial" w:hAnsi="Arial"/>
          <w:sz w:val="20"/>
          <w:szCs w:val="20"/>
        </w:rPr>
        <w:t xml:space="preserve">   |   Mês 5: </w:t>
      </w:r>
      <w:r>
        <w:rPr>
          <w:rFonts w:ascii="Arial" w:cs="Arial" w:eastAsia="Arial" w:hAnsi="Arial"/>
          <w:b/>
          <w:bCs/>
          <w:sz w:val="20"/>
          <w:szCs w:val="20"/>
        </w:rPr>
        <w:t xml:space="preserve">=E29+2*(H29-E29)/3</w:t>
      </w:r>
    </w:p>
    <w:p>
      <w:pPr>
        <w:spacing w:after="160" w:line="276"/>
        <w:jc w:val="both"/>
      </w:pPr>
      <w:r>
        <w:rPr>
          <w:rFonts w:ascii="Arial" w:cs="Arial" w:eastAsia="Arial" w:hAnsi="Arial"/>
          <w:color w:val="1A1A1A"/>
          <w:sz w:val="20"/>
          <w:szCs w:val="20"/>
        </w:rPr>
        <w:t xml:space="preserve">Mesma lógica de interpolação linear explicada na Seção 3.2, aplicada agora ao investimento em marketing: você fixou o ponto de partida (R$1.000 no mês 3) e o ponto de chegada (R$10.000 no mês 6); os meses 4 e 5 dividem o caminho em partes iguais (R$4.000 e R$7.000). Os meses 1 e 2 ficam zerados porque o marketing só começa no 3º mês pós-lançamento, por definição sua.</w:t>
      </w:r>
    </w:p>
    <w:p>
      <w:pPr>
        <w:spacing w:after="80" w:before="200"/>
      </w:pPr>
      <w:r>
        <w:rPr>
          <w:rFonts w:ascii="Arial" w:cs="Arial" w:eastAsia="Arial" w:hAnsi="Arial"/>
          <w:b/>
          <w:bCs/>
          <w:color w:val="C9A227"/>
          <w:sz w:val="21"/>
          <w:szCs w:val="21"/>
        </w:rPr>
        <w:t xml:space="preserve">Seguro do estoque custodiado</w:t>
      </w:r>
    </w:p>
    <w:p>
      <w:pPr>
        <w:spacing w:after="160" w:line="276"/>
        <w:jc w:val="both"/>
      </w:pPr>
      <w:r>
        <w:rPr>
          <w:rFonts w:ascii="Arial" w:cs="Arial" w:eastAsia="Arial" w:hAnsi="Arial"/>
          <w:sz w:val="20"/>
          <w:szCs w:val="20"/>
        </w:rPr>
        <w:t xml:space="preserve">Fórmula: </w:t>
      </w:r>
      <w:r>
        <w:rPr>
          <w:rFonts w:ascii="Arial" w:cs="Arial" w:eastAsia="Arial" w:hAnsi="Arial"/>
          <w:b/>
          <w:bCs/>
          <w:sz w:val="20"/>
          <w:szCs w:val="20"/>
        </w:rPr>
        <w:t xml:space="preserve">=Faturamento!B21*Faturamento!$G$17*$C$35*$C$36/12</w:t>
      </w:r>
    </w:p>
    <w:p>
      <w:pPr>
        <w:spacing w:after="160" w:line="276"/>
        <w:jc w:val="both"/>
      </w:pPr>
      <w:r>
        <w:rPr>
          <w:rFonts w:ascii="Arial" w:cs="Arial" w:eastAsia="Arial" w:hAnsi="Arial"/>
          <w:color w:val="1A1A1A"/>
          <w:sz w:val="20"/>
          <w:szCs w:val="20"/>
        </w:rPr>
        <w:t xml:space="preserve">Usuários acumulados naquele mês × moedas médias por usuário (7,5) = quantidade estimada de moedas em custódia. Multiplica-se pelo valor médio estimado por moeda (R$280, célula azul editável em C35) e pela taxa de seguro anual (1%, célula azul editável em C36) — e divide-se por 12 para chegar no custo mensal do prêmio. As duas premissas (valor médio da moeda e taxa de seguro) ficam em células separadas exatamente para que, quando vocês tiverem uma cotação real de seguradora, seja só trocar esses dois números.</w:t>
      </w:r>
    </w:p>
    <w:p>
      <w:pPr>
        <w:spacing w:after="80" w:before="200"/>
      </w:pPr>
      <w:r>
        <w:rPr>
          <w:rFonts w:ascii="Arial" w:cs="Arial" w:eastAsia="Arial" w:hAnsi="Arial"/>
          <w:b/>
          <w:bCs/>
          <w:color w:val="C9A227"/>
          <w:sz w:val="21"/>
          <w:szCs w:val="21"/>
        </w:rPr>
        <w:t xml:space="preserve">Retorno sobre investimento (ROI) dos sócios</w:t>
      </w:r>
    </w:p>
    <w:p>
      <w:pPr>
        <w:spacing w:after="160" w:line="276"/>
        <w:jc w:val="both"/>
      </w:pPr>
      <w:r>
        <w:rPr>
          <w:rFonts w:ascii="Arial" w:cs="Arial" w:eastAsia="Arial" w:hAnsi="Arial"/>
          <w:sz w:val="20"/>
          <w:szCs w:val="20"/>
        </w:rPr>
        <w:t xml:space="preserve">Lucro acumulado até o mês selecionado: </w:t>
      </w:r>
      <w:r>
        <w:rPr>
          <w:rFonts w:ascii="Arial" w:cs="Arial" w:eastAsia="Arial" w:hAnsi="Arial"/>
          <w:b/>
          <w:bCs/>
          <w:sz w:val="20"/>
          <w:szCs w:val="20"/>
        </w:rPr>
        <w:t xml:space="preserve">=SUM($C$32:INDEX($C$32:$H$32,1,$C$5))</w:t>
      </w:r>
    </w:p>
    <w:p>
      <w:pPr>
        <w:spacing w:after="160" w:line="276"/>
        <w:jc w:val="both"/>
      </w:pPr>
      <w:r>
        <w:rPr>
          <w:rFonts w:ascii="Arial" w:cs="Arial" w:eastAsia="Arial" w:hAnsi="Arial"/>
          <w:color w:val="1A1A1A"/>
          <w:sz w:val="20"/>
          <w:szCs w:val="20"/>
        </w:rPr>
        <w:t xml:space="preserve">Essa fórmula soma a linha de Lucro Líquido só até o mês escolhido no seletor. O truque técnico aqui é usar um INDEX dentro do próprio intervalo de uma soma: SUM($C$32:INDEX(...)) cria um intervalo "elástico", que vai de C32 até a célula do mês selecionado — se você mudar o seletor de 6 para 3, a soma automaticamente passa a considerar só os 3 primeiros meses. Cada sócio então recebe: % de participação (aporte individual ÷ aporte total de R$240.000) × lucro acumulado. O ROI percentual de cada um é simplesmente esse retorno proporcional dividido pelo valor que a pessoa aportou.</w:t>
      </w:r>
    </w:p>
    <w:p>
      <w:pPr>
        <w:spacing w:after="80" w:before="200"/>
      </w:pPr>
      <w:r>
        <w:rPr>
          <w:rFonts w:ascii="Arial" w:cs="Arial" w:eastAsia="Arial" w:hAnsi="Arial"/>
          <w:b/>
          <w:bCs/>
          <w:color w:val="C9A227"/>
          <w:sz w:val="21"/>
          <w:szCs w:val="21"/>
        </w:rPr>
        <w:t xml:space="preserve">Gráficos</w:t>
      </w:r>
    </w:p>
    <w:p>
      <w:pPr>
        <w:spacing w:after="160" w:line="276"/>
        <w:jc w:val="both"/>
      </w:pPr>
      <w:r>
        <w:rPr>
          <w:rFonts w:ascii="Arial" w:cs="Arial" w:eastAsia="Arial" w:hAnsi="Arial"/>
          <w:color w:val="1A1A1A"/>
          <w:sz w:val="20"/>
          <w:szCs w:val="20"/>
        </w:rPr>
        <w:t xml:space="preserve">O gráfico de barras+linha mostra Receita Bruta, Despesas Totais e Lucro Líquido lado a lado para os 6 meses — ele não depende do seletor de mês, mostra a série completa para dar visão de tendência. O gráfico de pizza mostra a composição das despesas no mês 6 (Infraestrutura, Marketing, Seguro) para visualizar rapidamente onde o dinheiro está indo quando a operação estiver em ritmo mais maduro.</w:t>
      </w:r>
    </w:p>
    <w:p>
      <w:pPr>
        <w:pStyle w:val="Heading1"/>
        <w:pBdr>
          <w:bottom w:val="single" w:color="C9A227" w:sz="12" w:space="4"/>
        </w:pBdr>
        <w:spacing w:after="160" w:before="360"/>
      </w:pPr>
      <w:r>
        <w:rPr>
          <w:rFonts w:ascii="Arial" w:cs="Arial" w:eastAsia="Arial" w:hAnsi="Arial"/>
          <w:b/>
          <w:bCs/>
          <w:color w:val="0F1E3D"/>
          <w:sz w:val="30"/>
          <w:szCs w:val="30"/>
        </w:rPr>
        <w:t xml:space="preserve">4. Tributação aplicável à operação</w:t>
      </w:r>
    </w:p>
    <w:p>
      <w:pPr>
        <w:spacing w:after="160" w:line="276"/>
        <w:jc w:val="both"/>
      </w:pPr>
      <w:r>
        <w:rPr>
          <w:rFonts w:ascii="Arial" w:cs="Arial" w:eastAsia="Arial" w:hAnsi="Arial"/>
          <w:color w:val="1A1A1A"/>
          <w:sz w:val="20"/>
          <w:szCs w:val="20"/>
        </w:rPr>
        <w:t xml:space="preserve">Esta seção explica, com base no CNPJ real da Áurea Custódia, todos os tributos relacionados à operação da empresa — e traz uma correção importante em relação à simplificação usada na primeira versão da planilha.</w:t>
      </w:r>
    </w:p>
    <w:p>
      <w:pPr>
        <w:pStyle w:val="Heading2"/>
        <w:spacing w:after="120" w:before="280"/>
      </w:pPr>
      <w:r>
        <w:rPr>
          <w:rFonts w:ascii="Arial" w:cs="Arial" w:eastAsia="Arial" w:hAnsi="Arial"/>
          <w:b/>
          <w:bCs/>
          <w:color w:val="0F1E3D"/>
          <w:sz w:val="24"/>
          <w:szCs w:val="24"/>
        </w:rPr>
        <w:t xml:space="preserve">4.1 O regime: Simples Nacional</w:t>
      </w:r>
    </w:p>
    <w:p>
      <w:pPr>
        <w:spacing w:after="160" w:line="276"/>
        <w:jc w:val="both"/>
      </w:pPr>
      <w:r>
        <w:rPr>
          <w:rFonts w:ascii="Arial" w:cs="Arial" w:eastAsia="Arial" w:hAnsi="Arial"/>
          <w:color w:val="1A1A1A"/>
          <w:sz w:val="20"/>
          <w:szCs w:val="20"/>
        </w:rPr>
        <w:t xml:space="preserve">O Simples Nacional (Lei Complementar 123/2006) é um regime que unifica em uma única guia mensal (o DAS) oito tributos: IRPJ, CSLL, PIS/Pasep, COFINS, CPP (contribuição previdenciária patronal), ISS, ICMS e IPI — os três últimos só quando aplicáveis à atividade. Para poder optar, a empresa precisa faturar até R$4,8 milhões por ano; passado esse teto, é obrigada a migrar para Lucro Presumido ou Lucro Real, regimes mais complexos e, em geral, mais caros para uma operação deste porte.</w:t>
      </w:r>
    </w:p>
    <w:p>
      <w:pPr>
        <w:spacing w:after="160" w:line="276"/>
        <w:jc w:val="both"/>
      </w:pPr>
      <w:r>
        <w:rPr>
          <w:rFonts w:ascii="Arial" w:cs="Arial" w:eastAsia="Arial" w:hAnsi="Arial"/>
          <w:color w:val="1A1A1A"/>
          <w:sz w:val="20"/>
          <w:szCs w:val="20"/>
        </w:rPr>
        <w:t xml:space="preserve">Dentro do Simples Nacional existe um sublimite de R$3,6 milhões: quando a receita acumulada nos últimos 12 meses ultrapassa esse valor, o ICMS e o ISS deixam de ser recolhidos dentro do DAS e passam a seguir as regras normais (estaduais/municipais) de cada tributo, separadamente. Isso está longe da realidade da Áurea Custódia nos primeiros 6 meses simulados (receita total projetada de R$422 mil no período), mas vale ter no radar caso o crescimento supere as projeções.</w:t>
      </w:r>
    </w:p>
    <w:p>
      <w:pPr>
        <w:pStyle w:val="Heading2"/>
        <w:spacing w:after="120" w:before="280"/>
      </w:pPr>
      <w:r>
        <w:rPr>
          <w:rFonts w:ascii="Arial" w:cs="Arial" w:eastAsia="Arial" w:hAnsi="Arial"/>
          <w:b/>
          <w:bCs/>
          <w:color w:val="0F1E3D"/>
          <w:sz w:val="24"/>
          <w:szCs w:val="24"/>
        </w:rPr>
        <w:t xml:space="preserve">4.2 A regra que muda tudo: segregação de receita por CNAE</w:t>
      </w:r>
    </w:p>
    <w:p>
      <w:pPr>
        <w:spacing w:after="160" w:line="276"/>
        <w:jc w:val="both"/>
      </w:pPr>
      <w:r>
        <w:rPr>
          <w:rFonts w:ascii="Arial" w:cs="Arial" w:eastAsia="Arial" w:hAnsi="Arial"/>
          <w:color w:val="1A1A1A"/>
          <w:sz w:val="20"/>
          <w:szCs w:val="20"/>
        </w:rPr>
        <w:t xml:space="preserve">Aqui está o ponto central desta seção. A Lei Complementar 123/2006 (art. 18, §§5º-B a 5º-N) determina que, quando uma empresa exerce mais de uma atividade e essas atividades pertencem a Anexos diferentes do Simples Nacional, a receita deve ser segregada — ou seja, cada tipo de receita é tributado pela alíquota do Anexo que corresponde à atividade que a gerou, não por uma alíquota única aplicada sobre o faturamento total.</w:t>
      </w:r>
    </w:p>
    <w:p>
      <w:pPr>
        <w:spacing w:after="160" w:line="276"/>
        <w:jc w:val="both"/>
      </w:pPr>
      <w:r>
        <w:rPr>
          <w:rFonts w:ascii="Arial" w:cs="Arial" w:eastAsia="Arial" w:hAnsi="Arial"/>
          <w:color w:val="1A1A1A"/>
          <w:sz w:val="20"/>
          <w:szCs w:val="20"/>
        </w:rPr>
        <w:t xml:space="preserve">A Áurea Custódia tem exatamente esse cenário: os dois CNAEs registrados caem em regras diferentes.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tcW w:type="dxa" w:w="145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CNAE</w:t>
            </w:r>
          </w:p>
        </w:tc>
        <w:tc>
          <w:tcPr>
            <w:tcW w:type="dxa" w:w="26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Atividade</w:t>
            </w:r>
          </w:p>
        </w:tc>
        <w:tc>
          <w:tcPr>
            <w:tcW w:type="dxa" w:w="26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Receita da planilha correspondente</w:t>
            </w:r>
          </w:p>
        </w:tc>
        <w:tc>
          <w:tcPr>
            <w:tcW w:type="dxa" w:w="27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Regra do Simples Nacional</w:t>
            </w:r>
          </w:p>
        </w:tc>
      </w:tr>
      <w:tr>
        <w:tc>
          <w:tcPr>
            <w:tcW w:type="dxa" w:w="14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52.11-7-99</w:t>
            </w:r>
          </w:p>
        </w:tc>
        <w:tc>
          <w:tcPr>
            <w:tcW w:type="dxa" w:w="26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Depósito de mercadorias para terceiros (armazenagem/custódia)</w:t>
            </w:r>
          </w:p>
        </w:tc>
        <w:tc>
          <w:tcPr>
            <w:tcW w:type="dxa" w:w="26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Taxa de custódia anual</w:t>
            </w:r>
          </w:p>
        </w:tc>
        <w:tc>
          <w:tcPr>
            <w:tcW w:type="dxa" w:w="27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Anexo III direto — este CNAE não está sujeito ao teste do Fator R (confirmado na base de consulta de CNAEs). A receita de custódia pode ser tributada pelo Anexo III (6% a 33%) independentemente da folha de pagamento da empresa.</w:t>
            </w:r>
          </w:p>
        </w:tc>
      </w:tr>
      <w:tr>
        <w:tc>
          <w:tcPr>
            <w:tcW w:type="dxa" w:w="14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74.90-1-04</w:t>
            </w:r>
          </w:p>
        </w:tc>
        <w:tc>
          <w:tcPr>
            <w:tcW w:type="dxa" w:w="26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Intermediação e agenciamento de serviços e negócios em geral</w:t>
            </w:r>
          </w:p>
        </w:tc>
        <w:tc>
          <w:tcPr>
            <w:tcW w:type="dxa" w:w="26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Comissão de negociação (trading) + comissão de crédito com garantia</w:t>
            </w:r>
          </w:p>
        </w:tc>
        <w:tc>
          <w:tcPr>
            <w:tcW w:type="dxa" w:w="27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Sujeito ao Fator R: se a folha de pagamento (pró-labore + salários) somar 28% ou mais da receita bruta dos últimos 12 meses → Anexo III (6% a 33%). Se ficar abaixo de 28% → Anexo V (15,5% a 30,5%), consideravelmente mais caro.</w:t>
            </w:r>
          </w:p>
        </w:tc>
      </w:tr>
    </w:tbl>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FF6D9" w:val="clear"/>
            <w:tcMar>
              <w:top w:type="dxa" w:w="160"/>
              <w:left w:type="dxa" w:w="200"/>
              <w:bottom w:type="dxa" w:w="160"/>
              <w:right w:type="dxa" w:w="200"/>
            </w:tcMar>
          </w:tcPr>
          <w:p>
            <w:pPr>
              <w:spacing w:after="80"/>
            </w:pPr>
            <w:r>
              <w:rPr>
                <w:rFonts w:ascii="Arial" w:cs="Arial" w:eastAsia="Arial" w:hAnsi="Arial"/>
                <w:b/>
                <w:bCs/>
                <w:color w:val="0F1E3D"/>
                <w:sz w:val="20"/>
                <w:szCs w:val="20"/>
              </w:rPr>
              <w:t xml:space="preserve">⚠ Correção em relação à planilha entregue</w:t>
            </w:r>
          </w:p>
          <w:p>
            <w:pPr>
              <w:spacing w:line="264"/>
              <w:jc w:val="both"/>
            </w:pPr>
            <w:r>
              <w:rPr>
                <w:rFonts w:ascii="Arial" w:cs="Arial" w:eastAsia="Arial" w:hAnsi="Arial"/>
                <w:color w:val="1A1A1A"/>
                <w:sz w:val="19"/>
                <w:szCs w:val="19"/>
              </w:rPr>
              <w:t xml:space="preserve">A primeira versão da planilha aplica a mesma tabela do Anexo III (6% a 33%) para toda a receita — custódia, negociação e empréstimo — como simplificação. Com o CNAE real confirmado, isso é impreciso para a parte de negociação e empréstimo (CNAE 74.90-1-04): enquanto a folha de pagamento da empresa for baixa em relação à receita — o que é bem provável nos primeiros meses, já que o único custo de pessoal simulado é o pagamento a Gabriel, que termina em agosto/2026, antes do lançamento — essa fatia da receita tende a cair no Anexo V, não no Anexo III. Como o Anexo V começa em 15,5% (contra 6% do Anexo III), isso significa que os impostos sobre a receita de negociação e de empréstimo na planilha atual estão provavelmente subestimados. Recomendo que, na próxima atualização, a aba Faturamento separe a receita de custódia (sempre Anexo III) da receita de negociação + empréstimo (Anexo III ou V, dependendo do Fator R real, mês a mês) — posso fazer essa atualização se você quiser.</w:t>
            </w:r>
          </w:p>
        </w:tc>
      </w:tr>
    </w:tbl>
    <w:p>
      <w:pPr>
        <w:pStyle w:val="Heading2"/>
        <w:spacing w:after="120" w:before="280"/>
      </w:pPr>
      <w:r>
        <w:rPr>
          <w:rFonts w:ascii="Arial" w:cs="Arial" w:eastAsia="Arial" w:hAnsi="Arial"/>
          <w:b/>
          <w:bCs/>
          <w:color w:val="0F1E3D"/>
          <w:sz w:val="24"/>
          <w:szCs w:val="24"/>
        </w:rPr>
        <w:t xml:space="preserve">4.3 Como funciona o Fator R, na prática</w:t>
      </w:r>
    </w:p>
    <w:p>
      <w:pPr>
        <w:spacing w:after="160" w:line="276"/>
        <w:jc w:val="both"/>
      </w:pPr>
      <w:r>
        <w:rPr>
          <w:rFonts w:ascii="Arial" w:cs="Arial" w:eastAsia="Arial" w:hAnsi="Arial"/>
          <w:sz w:val="20"/>
          <w:szCs w:val="20"/>
        </w:rPr>
        <w:t xml:space="preserve">Fórmula do Fator R: </w:t>
      </w:r>
      <w:r>
        <w:rPr>
          <w:rFonts w:ascii="Arial" w:cs="Arial" w:eastAsia="Arial" w:hAnsi="Arial"/>
          <w:b/>
          <w:bCs/>
          <w:sz w:val="20"/>
          <w:szCs w:val="20"/>
        </w:rPr>
        <w:t xml:space="preserve">Fator R = Folha de pagamento dos últimos 12 meses ÷ Receita bruta dos últimos 12 meses</w:t>
      </w:r>
    </w:p>
    <w:p>
      <w:pPr>
        <w:spacing w:after="160" w:line="276"/>
        <w:jc w:val="both"/>
      </w:pPr>
      <w:r>
        <w:rPr>
          <w:rFonts w:ascii="Arial" w:cs="Arial" w:eastAsia="Arial" w:hAnsi="Arial"/>
          <w:color w:val="1A1A1A"/>
          <w:sz w:val="20"/>
          <w:szCs w:val="20"/>
        </w:rPr>
        <w:t xml:space="preserve">"Folha de pagamento" aqui inclui salários, pró-labore dos sócios, encargos e 13º — tudo que a empresa paga a quem trabalha nela, incluindo os próprios sócios quando retiram pró-labore formal. Se esse total representar 28% ou mais da receita bruta acumulada em 12 meses, a parte da receita sujeita ao Fator R (a de intermediação/negociação) migra para o Anexo III, mais barato. Isso cria um incentivo direto: formalizar pró-labore para os sócios que trabalham ativamente na operação (Gabriel, por exemplo) não é só uma questão de remuneração — pode reduzir a alíquota efetiva de boa parte da receita da empresa. Vale simular os dois cenários com o contador antes de decidir o valor do pró-labore.</w:t>
      </w:r>
    </w:p>
    <w:p>
      <w:pPr>
        <w:pStyle w:val="Heading2"/>
        <w:spacing w:after="120" w:before="280"/>
      </w:pPr>
      <w:r>
        <w:rPr>
          <w:rFonts w:ascii="Arial" w:cs="Arial" w:eastAsia="Arial" w:hAnsi="Arial"/>
          <w:b/>
          <w:bCs/>
          <w:color w:val="0F1E3D"/>
          <w:sz w:val="24"/>
          <w:szCs w:val="24"/>
        </w:rPr>
        <w:t xml:space="preserve">4.4 Outras obrigações e tributos ligados à operação</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dxa" w:w="260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Tributo / obrigação</w:t>
            </w:r>
          </w:p>
        </w:tc>
        <w:tc>
          <w:tcPr>
            <w:tcW w:type="dxa" w:w="6750"/>
            <w:shd w:fill="0F1E3D"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 que é e quando incide</w:t>
            </w:r>
          </w:p>
        </w:tc>
      </w:tr>
      <w:tr>
        <w:tc>
          <w:tcPr>
            <w:tcW w:type="dxa" w:w="26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Inscrição Estadual (IE)</w:t>
            </w:r>
          </w:p>
        </w:tc>
        <w:tc>
          <w:tcPr>
            <w:tcW w:type="dxa" w:w="67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O CNAE 52.11-7-99 exige Inscrição Estadual obrigatória, mesmo dentro do Simples Nacional. É um cadastro, não necessariamente um imposto adicional — mas precisa ser providenciado junto à Secretaria de Fazenda de Minas Gerais antes de operar.</w:t>
            </w:r>
          </w:p>
        </w:tc>
      </w:tr>
      <w:tr>
        <w:tc>
          <w:tcPr>
            <w:tcW w:type="dxa" w:w="26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ISS embutido no DAS</w:t>
            </w:r>
          </w:p>
        </w:tc>
        <w:tc>
          <w:tcPr>
            <w:tcW w:type="dxa" w:w="67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Enquanto a Áurea estiver dentro do sublimite de R$3,6 milhões/ano, o ISS sobre os serviços de custódia e intermediação já está embutido na alíquota única do Simples Nacional — não há guia separada para a Prefeitura de Belo Horizonte.</w:t>
            </w:r>
          </w:p>
        </w:tc>
      </w:tr>
      <w:tr>
        <w:tc>
          <w:tcPr>
            <w:tcW w:type="dxa" w:w="26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IRRF sobre pró-labore</w:t>
            </w:r>
          </w:p>
        </w:tc>
        <w:tc>
          <w:tcPr>
            <w:tcW w:type="dxa" w:w="67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Se os sócios formalizarem retirada de pró-labore, incide Imposto de Renda Retido na Fonte sobre o valor, com tabela progressiva do IR pessoa física, além da contribuição previdenciária do sócio (INSS, geralmente 11% sobre o pró-labore, limitada ao teto do INSS).</w:t>
            </w:r>
          </w:p>
        </w:tc>
      </w:tr>
      <w:tr>
        <w:tc>
          <w:tcPr>
            <w:tcW w:type="dxa" w:w="26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RAT / FPAS (se houver contratação CLT)</w:t>
            </w:r>
          </w:p>
        </w:tc>
        <w:tc>
          <w:tcPr>
            <w:tcW w:type="dxa" w:w="67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Para o CNAE 52.11-7-99 (classe 52.11-7, Armazenamento), o grau de risco de acidente de trabalho é 3 (de uma escala de 1 a 4), com alíquota RAT de referência de 3%. Só se aplica se a empresa contratar funcionários em regime CLT — não incide sobre pró-labore de sócio nem sobre o pagamento avulso ao Gabriel como pessoa física prestando serviço.</w:t>
            </w:r>
          </w:p>
        </w:tc>
      </w:tr>
      <w:tr>
        <w:tc>
          <w:tcPr>
            <w:tcW w:type="dxa" w:w="260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IOF sobre operações de crédito</w:t>
            </w:r>
          </w:p>
        </w:tc>
        <w:tc>
          <w:tcPr>
            <w:tcW w:type="dxa" w:w="6750"/>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Não incide diretamente sobre a Áurea Custódia: o empréstimo em si é concedido pela instituição financeira parceira (ex.: modelo QI Sociedade de Crédito Direto), não pela Áurea. A empresa recebe apenas a comissão de intermediação, que já está sujeita ao Simples Nacional conforme a Seção 4.2. Vale confirmar esse desenho com o parceiro bancário quando o produto for formalizado.</w:t>
            </w:r>
          </w:p>
        </w:tc>
      </w:tr>
      <w:tr>
        <w:tc>
          <w:tcPr>
            <w:tcW w:type="dxa" w:w="260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Exclusão do Simples por excesso de receita</w:t>
            </w:r>
          </w:p>
        </w:tc>
        <w:tc>
          <w:tcPr>
            <w:tcW w:type="dxa" w:w="6750"/>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A1A1A"/>
                <w:sz w:val="18"/>
                <w:szCs w:val="18"/>
              </w:rPr>
              <w:t xml:space="preserve">Se a receita bruta acumulada em 12 meses ultrapassar R$4,8 milhões, a empresa é obrigatoriamente excluída do Simples Nacional e migra para Lucro Presumido ou Lucro Real a partir do mês seguinte (ou do ano-calendário seguinte, dependendo do percentual de excesso — a chamada "regra dos 20%"). Está longe da realidade dos 6 meses simulados, mas relevante se o crescimento acelerar.</w:t>
            </w:r>
          </w:p>
        </w:tc>
      </w:tr>
    </w:tbl>
    <w:p>
      <w:pPr>
        <w:pStyle w:val="Heading2"/>
        <w:spacing w:after="120" w:before="280"/>
      </w:pPr>
      <w:r>
        <w:rPr>
          <w:rFonts w:ascii="Arial" w:cs="Arial" w:eastAsia="Arial" w:hAnsi="Arial"/>
          <w:b/>
          <w:bCs/>
          <w:color w:val="0F1E3D"/>
          <w:sz w:val="24"/>
          <w:szCs w:val="24"/>
        </w:rPr>
        <w:t xml:space="preserve">4.5 Resumo visual: de onde vem cada imposto</w:t>
      </w:r>
    </w:p>
    <w:p>
      <w:pPr>
        <w:spacing w:after="160" w:line="276"/>
        <w:jc w:val="both"/>
      </w:pPr>
      <w:r>
        <w:rPr>
          <w:rFonts w:ascii="Arial" w:cs="Arial" w:eastAsia="Arial" w:hAnsi="Arial"/>
          <w:color w:val="1A1A1A"/>
          <w:sz w:val="20"/>
          <w:szCs w:val="20"/>
        </w:rPr>
        <w:t xml:space="preserve">Em resumo, para cada R$1,00 de receita que entra na Áurea Custódia, o caminho até o imposto devido é:</w:t>
      </w:r>
    </w:p>
    <w:p>
      <w:pPr>
        <w:pStyle w:val="ListParagraph"/>
        <w:numPr>
          <w:ilvl w:val="0"/>
          <w:numId w:val="3"/>
        </w:numPr>
        <w:spacing w:after="100" w:line="264"/>
      </w:pPr>
      <w:r>
        <w:rPr>
          <w:rFonts w:ascii="Arial" w:cs="Arial" w:eastAsia="Arial" w:hAnsi="Arial"/>
          <w:sz w:val="20"/>
          <w:szCs w:val="20"/>
        </w:rPr>
        <w:t xml:space="preserve">Identificar a atividade que gerou a receita: custódia (CNAE 52.11-7-99) ou negociação/empréstimo (CNAE 74.90-1-04).</w:t>
      </w:r>
    </w:p>
    <w:p>
      <w:pPr>
        <w:pStyle w:val="ListParagraph"/>
        <w:numPr>
          <w:ilvl w:val="0"/>
          <w:numId w:val="3"/>
        </w:numPr>
        <w:spacing w:after="100" w:line="264"/>
      </w:pPr>
      <w:r>
        <w:rPr>
          <w:rFonts w:ascii="Arial" w:cs="Arial" w:eastAsia="Arial" w:hAnsi="Arial"/>
          <w:sz w:val="20"/>
          <w:szCs w:val="20"/>
        </w:rPr>
        <w:t xml:space="preserve">Para custódia: aplicar direto a tabela do Anexo III, segundo a faixa de RBT12 do mês.</w:t>
      </w:r>
    </w:p>
    <w:p>
      <w:pPr>
        <w:pStyle w:val="ListParagraph"/>
        <w:numPr>
          <w:ilvl w:val="0"/>
          <w:numId w:val="3"/>
        </w:numPr>
        <w:spacing w:after="100" w:line="264"/>
      </w:pPr>
      <w:r>
        <w:rPr>
          <w:rFonts w:ascii="Arial" w:cs="Arial" w:eastAsia="Arial" w:hAnsi="Arial"/>
          <w:sz w:val="20"/>
          <w:szCs w:val="20"/>
        </w:rPr>
        <w:t xml:space="preserve">Para negociação/empréstimo: calcular o Fator R do mês (folha de pagamento ÷ receita bruta 12 meses) e decidir entre Anexo III (Fator R ≥ 28%) ou Anexo V (Fator R &lt; 28%).</w:t>
      </w:r>
    </w:p>
    <w:p>
      <w:pPr>
        <w:pStyle w:val="ListParagraph"/>
        <w:numPr>
          <w:ilvl w:val="0"/>
          <w:numId w:val="3"/>
        </w:numPr>
        <w:spacing w:after="100" w:line="264"/>
      </w:pPr>
      <w:r>
        <w:rPr>
          <w:rFonts w:ascii="Arial" w:cs="Arial" w:eastAsia="Arial" w:hAnsi="Arial"/>
          <w:sz w:val="20"/>
          <w:szCs w:val="20"/>
        </w:rPr>
        <w:t xml:space="preserve">Aplicar a fórmula de alíquota efetiva [(RBT12 × alíquota nominal) − parcela a deduzir] ÷ RBT12, usando a tabela do Anexo correspondente.</w:t>
      </w:r>
    </w:p>
    <w:p>
      <w:pPr>
        <w:pStyle w:val="ListParagraph"/>
        <w:numPr>
          <w:ilvl w:val="0"/>
          <w:numId w:val="3"/>
        </w:numPr>
        <w:spacing w:after="100" w:line="264"/>
      </w:pPr>
      <w:r>
        <w:rPr>
          <w:rFonts w:ascii="Arial" w:cs="Arial" w:eastAsia="Arial" w:hAnsi="Arial"/>
          <w:sz w:val="20"/>
          <w:szCs w:val="20"/>
        </w:rPr>
        <w:t xml:space="preserve">O resultado de cada mês vira o valor do DAS a pagar — uma única guia, mesmo com receitas segregadas em Anexos diferentes.</w:t>
      </w:r>
    </w:p>
    <w:p>
      <w:pPr>
        <w:pStyle w:val="Heading1"/>
        <w:pBdr>
          <w:bottom w:val="single" w:color="C9A227" w:sz="12" w:space="4"/>
        </w:pBdr>
        <w:spacing w:after="160" w:before="360"/>
      </w:pPr>
      <w:r>
        <w:rPr>
          <w:rFonts w:ascii="Arial" w:cs="Arial" w:eastAsia="Arial" w:hAnsi="Arial"/>
          <w:b/>
          <w:bCs/>
          <w:color w:val="0F1E3D"/>
          <w:sz w:val="30"/>
          <w:szCs w:val="30"/>
        </w:rPr>
        <w:t xml:space="preserve">5. Itens para validar com o contador antes do lançamento</w:t>
      </w:r>
    </w:p>
    <w:p>
      <w:pPr>
        <w:spacing w:after="160" w:line="276"/>
        <w:jc w:val="both"/>
      </w:pPr>
      <w:r>
        <w:rPr>
          <w:rFonts w:ascii="Arial" w:cs="Arial" w:eastAsia="Arial" w:hAnsi="Arial"/>
          <w:color w:val="1A1A1A"/>
          <w:sz w:val="20"/>
          <w:szCs w:val="20"/>
        </w:rPr>
        <w:t xml:space="preserve">Lista objetiva do que precisa de confirmação profissional antes de tratar os números da planilha como definitivos:</w:t>
      </w:r>
    </w:p>
    <w:p>
      <w:pPr>
        <w:pStyle w:val="ListParagraph"/>
        <w:numPr>
          <w:ilvl w:val="0"/>
          <w:numId w:val="2"/>
        </w:numPr>
        <w:spacing w:after="100" w:line="264"/>
      </w:pPr>
      <w:r>
        <w:rPr>
          <w:rFonts w:ascii="Arial" w:cs="Arial" w:eastAsia="Arial" w:hAnsi="Arial"/>
          <w:sz w:val="20"/>
          <w:szCs w:val="20"/>
        </w:rPr>
        <w:t xml:space="preserve">Confirmar se a opção pelo Simples Nacional já foi manifestada no ato de abertura do CNPJ (16/07/2026) ou se ainda está dentro da janela de 30/60 dias para solicitar com efeito retroativo (Seção 1, alerta de prazo).</w:t>
      </w:r>
    </w:p>
    <w:p>
      <w:pPr>
        <w:pStyle w:val="ListParagraph"/>
        <w:numPr>
          <w:ilvl w:val="0"/>
          <w:numId w:val="2"/>
        </w:numPr>
        <w:spacing w:after="100" w:line="264"/>
      </w:pPr>
      <w:r>
        <w:rPr>
          <w:rFonts w:ascii="Arial" w:cs="Arial" w:eastAsia="Arial" w:hAnsi="Arial"/>
          <w:sz w:val="20"/>
          <w:szCs w:val="20"/>
        </w:rPr>
        <w:t xml:space="preserve">Validar a segregação de receita por CNAE (custódia = Anexo III direto; negociação/empréstimo = Anexo III ou V, conforme Fator R) e decidir se vale atualizar a planilha para calcular os dois Anexos separadamente.</w:t>
      </w:r>
    </w:p>
    <w:p>
      <w:pPr>
        <w:pStyle w:val="ListParagraph"/>
        <w:numPr>
          <w:ilvl w:val="0"/>
          <w:numId w:val="2"/>
        </w:numPr>
        <w:spacing w:after="100" w:line="264"/>
      </w:pPr>
      <w:r>
        <w:rPr>
          <w:rFonts w:ascii="Arial" w:cs="Arial" w:eastAsia="Arial" w:hAnsi="Arial"/>
          <w:sz w:val="20"/>
          <w:szCs w:val="20"/>
        </w:rPr>
        <w:t xml:space="preserve">Decidir o valor do pró-labore dos sócios operacionais e simular o impacto no Fator R — pode ser a diferença entre pagar Anexo III ou Anexo V sobre a receita de negociação.</w:t>
      </w:r>
    </w:p>
    <w:p>
      <w:pPr>
        <w:pStyle w:val="ListParagraph"/>
        <w:numPr>
          <w:ilvl w:val="0"/>
          <w:numId w:val="2"/>
        </w:numPr>
        <w:spacing w:after="100" w:line="264"/>
      </w:pPr>
      <w:r>
        <w:rPr>
          <w:rFonts w:ascii="Arial" w:cs="Arial" w:eastAsia="Arial" w:hAnsi="Arial"/>
          <w:sz w:val="20"/>
          <w:szCs w:val="20"/>
        </w:rPr>
        <w:t xml:space="preserve">Providenciar a Inscrição Estadual exigida pelo CNAE 52.11-7-99 junto à Secretaria de Fazenda de MG.</w:t>
      </w:r>
    </w:p>
    <w:p>
      <w:pPr>
        <w:pStyle w:val="ListParagraph"/>
        <w:numPr>
          <w:ilvl w:val="0"/>
          <w:numId w:val="2"/>
        </w:numPr>
        <w:spacing w:after="100" w:line="264"/>
      </w:pPr>
      <w:r>
        <w:rPr>
          <w:rFonts w:ascii="Arial" w:cs="Arial" w:eastAsia="Arial" w:hAnsi="Arial"/>
          <w:sz w:val="20"/>
          <w:szCs w:val="20"/>
        </w:rPr>
        <w:t xml:space="preserve">Confirmar se a atividade de custódia com emissão de NFT como "recibo de custódia" (não como ativo virtual) está de fato fora do escopo das Resoluções BCB nº 519–521/2026 sobre prestadoras de serviços de ativos virtuais — ponto já levantado nas reuniões de conceitualização, mas que vale checar com advogado especializado antes do lançamento.</w:t>
      </w:r>
    </w:p>
    <w:p>
      <w:pPr>
        <w:pStyle w:val="ListParagraph"/>
        <w:numPr>
          <w:ilvl w:val="0"/>
          <w:numId w:val="2"/>
        </w:numPr>
        <w:spacing w:after="100" w:line="264"/>
      </w:pPr>
      <w:r>
        <w:rPr>
          <w:rFonts w:ascii="Arial" w:cs="Arial" w:eastAsia="Arial" w:hAnsi="Arial"/>
          <w:sz w:val="20"/>
          <w:szCs w:val="20"/>
        </w:rPr>
        <w:t xml:space="preserve">Revisar a cotação real de seguro do estoque custodiado assim que houver proposta de corretora, substituindo a estimativa de 1% ao ano usada na planilha.</w:t>
      </w:r>
    </w:p>
    <w:p>
      <w:pPr>
        <w:pStyle w:val="ListParagraph"/>
        <w:numPr>
          <w:ilvl w:val="0"/>
          <w:numId w:val="2"/>
        </w:numPr>
        <w:spacing w:after="100" w:line="264"/>
      </w:pPr>
      <w:r>
        <w:rPr>
          <w:rFonts w:ascii="Arial" w:cs="Arial" w:eastAsia="Arial" w:hAnsi="Arial"/>
          <w:sz w:val="20"/>
          <w:szCs w:val="20"/>
        </w:rPr>
        <w:t xml:space="preserve">Confirmar enquadramento de ISS junto à Prefeitura de Belo Horizonte (mesmo estando embutido no DAS, vale confirmar a lista de serviços municipal aplicável).</w:t>
      </w:r>
    </w:p>
    <w:p>
      <w:pPr>
        <w:pStyle w:val="Heading1"/>
        <w:pBdr>
          <w:bottom w:val="single" w:color="C9A227" w:sz="12" w:space="4"/>
        </w:pBdr>
        <w:spacing w:after="160" w:before="360"/>
      </w:pPr>
      <w:r>
        <w:rPr>
          <w:rFonts w:ascii="Arial" w:cs="Arial" w:eastAsia="Arial" w:hAnsi="Arial"/>
          <w:b/>
          <w:bCs/>
          <w:color w:val="0F1E3D"/>
          <w:sz w:val="30"/>
          <w:szCs w:val="30"/>
        </w:rPr>
        <w:t xml:space="preserve">6. Referências</w:t>
      </w:r>
    </w:p>
    <w:p>
      <w:pPr>
        <w:spacing w:after="160" w:line="276"/>
        <w:jc w:val="both"/>
      </w:pPr>
      <w:r>
        <w:rPr>
          <w:rFonts w:ascii="Arial" w:cs="Arial" w:eastAsia="Arial" w:hAnsi="Arial"/>
          <w:color w:val="1A1A1A"/>
          <w:sz w:val="20"/>
          <w:szCs w:val="20"/>
        </w:rPr>
        <w:t xml:space="preserve">Fontes consultadas para a construção da planilha e deste documento (pesquisas realizadas em julho de 2026):</w:t>
      </w:r>
    </w:p>
    <w:p>
      <w:pPr>
        <w:pStyle w:val="ListParagraph"/>
        <w:numPr>
          <w:ilvl w:val="0"/>
          <w:numId w:val="2"/>
        </w:numPr>
        <w:spacing w:after="100" w:line="264"/>
      </w:pPr>
      <w:r>
        <w:rPr>
          <w:rFonts w:ascii="Arial" w:cs="Arial" w:eastAsia="Arial" w:hAnsi="Arial"/>
          <w:sz w:val="20"/>
          <w:szCs w:val="20"/>
        </w:rPr>
        <w:t xml:space="preserve">Lei Complementar 123/2006 (Estatuto Nacional da Microempresa e Empresa de Pequeno Porte) — institui o Simples Nacional.</w:t>
      </w:r>
    </w:p>
    <w:p>
      <w:pPr>
        <w:pStyle w:val="ListParagraph"/>
        <w:numPr>
          <w:ilvl w:val="0"/>
          <w:numId w:val="2"/>
        </w:numPr>
        <w:spacing w:after="100" w:line="264"/>
      </w:pPr>
      <w:r>
        <w:rPr>
          <w:rFonts w:ascii="Arial" w:cs="Arial" w:eastAsia="Arial" w:hAnsi="Arial"/>
          <w:sz w:val="20"/>
          <w:szCs w:val="20"/>
        </w:rPr>
        <w:t xml:space="preserve">Resolução CGSN nº 140/2018 e atualizações — regras de apuração do Simples Nacional, RBT12 para empresas em início de atividade e Fator R.</w:t>
      </w:r>
    </w:p>
    <w:p>
      <w:pPr>
        <w:pStyle w:val="ListParagraph"/>
        <w:numPr>
          <w:ilvl w:val="0"/>
          <w:numId w:val="2"/>
        </w:numPr>
        <w:spacing w:after="100" w:line="264"/>
      </w:pPr>
      <w:r>
        <w:rPr>
          <w:rFonts w:ascii="Arial" w:cs="Arial" w:eastAsia="Arial" w:hAnsi="Arial"/>
          <w:sz w:val="20"/>
          <w:szCs w:val="20"/>
        </w:rPr>
        <w:t xml:space="preserve">Resolução CMN nº 3.954/2011 — regras de comissionamento de correspondentes bancários.</w:t>
      </w:r>
    </w:p>
    <w:p>
      <w:pPr>
        <w:pStyle w:val="ListParagraph"/>
        <w:numPr>
          <w:ilvl w:val="0"/>
          <w:numId w:val="2"/>
        </w:numPr>
        <w:spacing w:after="100" w:line="264"/>
      </w:pPr>
      <w:r>
        <w:rPr>
          <w:rFonts w:ascii="Arial" w:cs="Arial" w:eastAsia="Arial" w:hAnsi="Arial"/>
          <w:sz w:val="20"/>
          <w:szCs w:val="20"/>
        </w:rPr>
        <w:t xml:space="preserve">Portal do Simples Nacional (Receita Federal) — regras de opção para empresas em início de atividade, Módulo de Administração Tributária (MAT), 2026.</w:t>
      </w:r>
    </w:p>
    <w:p>
      <w:pPr>
        <w:pStyle w:val="ListParagraph"/>
        <w:numPr>
          <w:ilvl w:val="0"/>
          <w:numId w:val="2"/>
        </w:numPr>
        <w:spacing w:after="100" w:line="264"/>
      </w:pPr>
      <w:r>
        <w:rPr>
          <w:rFonts w:ascii="Arial" w:cs="Arial" w:eastAsia="Arial" w:hAnsi="Arial"/>
          <w:sz w:val="20"/>
          <w:szCs w:val="20"/>
        </w:rPr>
        <w:t xml:space="preserve">Consulta de CNAEs — Contabilivre, Evercontabil, Senhor Contábil, Contabilizei, DP Objetivo, Contábeis.com (enquadramento no Simples Nacional dos CNAEs 52.11-7-99 e 74.90-1-04).</w:t>
      </w:r>
    </w:p>
    <w:p>
      <w:pPr>
        <w:pStyle w:val="ListParagraph"/>
        <w:numPr>
          <w:ilvl w:val="0"/>
          <w:numId w:val="2"/>
        </w:numPr>
        <w:spacing w:after="100" w:line="264"/>
      </w:pPr>
      <w:r>
        <w:rPr>
          <w:rFonts w:ascii="Arial" w:cs="Arial" w:eastAsia="Arial" w:hAnsi="Arial"/>
          <w:sz w:val="20"/>
          <w:szCs w:val="20"/>
        </w:rPr>
        <w:t xml:space="preserve">Contajá, Contabilidade.com, Agilize — tabelas de alíquotas do Anexo III do Simples Nacional e preços de contabilidade online, 2026.</w:t>
      </w:r>
    </w:p>
    <w:p>
      <w:pPr>
        <w:pStyle w:val="ListParagraph"/>
        <w:numPr>
          <w:ilvl w:val="0"/>
          <w:numId w:val="2"/>
        </w:numPr>
        <w:spacing w:after="100" w:line="264"/>
      </w:pPr>
      <w:r>
        <w:rPr>
          <w:rFonts w:ascii="Arial" w:cs="Arial" w:eastAsia="Arial" w:hAnsi="Arial"/>
          <w:sz w:val="20"/>
          <w:szCs w:val="20"/>
        </w:rPr>
        <w:t xml:space="preserve">CertDigitais e comparativos de mercado — preços de certificado digital e-CNPJ A1, 2026.</w:t>
      </w:r>
    </w:p>
    <w:p>
      <w:pPr>
        <w:pStyle w:val="ListParagraph"/>
        <w:numPr>
          <w:ilvl w:val="0"/>
          <w:numId w:val="2"/>
        </w:numPr>
        <w:spacing w:after="100" w:line="264"/>
      </w:pPr>
      <w:r>
        <w:rPr>
          <w:rFonts w:ascii="Arial" w:cs="Arial" w:eastAsia="Arial" w:hAnsi="Arial"/>
          <w:sz w:val="20"/>
          <w:szCs w:val="20"/>
        </w:rPr>
        <w:t xml:space="preserve">Mercado Livre, Amazon Brasil, Magazine Luiza — preços de webcam 4K USB e balança de precisão, julho de 2026.</w:t>
      </w:r>
    </w:p>
    <w:p>
      <w:pPr>
        <w:pStyle w:val="ListParagraph"/>
        <w:numPr>
          <w:ilvl w:val="0"/>
          <w:numId w:val="2"/>
        </w:numPr>
        <w:spacing w:after="100" w:line="264"/>
      </w:pPr>
      <w:r>
        <w:rPr>
          <w:rFonts w:ascii="Arial" w:cs="Arial" w:eastAsia="Arial" w:hAnsi="Arial"/>
          <w:sz w:val="20"/>
          <w:szCs w:val="20"/>
        </w:rPr>
        <w:t xml:space="preserve">Genebra Seguros, Howden Brasil — benchmarks de seguro para bens de valor e colecionáveis.</w:t>
      </w:r>
    </w:p>
    <w:p>
      <w:pPr>
        <w:pStyle w:val="ListParagraph"/>
        <w:numPr>
          <w:ilvl w:val="0"/>
          <w:numId w:val="2"/>
        </w:numPr>
        <w:spacing w:after="100" w:line="264"/>
      </w:pPr>
      <w:r>
        <w:rPr>
          <w:rFonts w:ascii="Arial" w:cs="Arial" w:eastAsia="Arial" w:hAnsi="Arial"/>
          <w:sz w:val="20"/>
          <w:szCs w:val="20"/>
        </w:rPr>
        <w:t xml:space="preserve">Mercado Bitcoin (MB Pay) — modelo de referência para crédito com garantia em ativo custodiado.</w:t>
      </w:r>
    </w:p>
    <w:p>
      <w:pPr>
        <w:pStyle w:val="ListParagraph"/>
        <w:numPr>
          <w:ilvl w:val="0"/>
          <w:numId w:val="2"/>
        </w:numPr>
        <w:spacing w:after="100" w:line="264"/>
      </w:pPr>
      <w:r>
        <w:rPr>
          <w:rFonts w:ascii="Arial" w:cs="Arial" w:eastAsia="Arial" w:hAnsi="Arial"/>
          <w:sz w:val="20"/>
          <w:szCs w:val="20"/>
        </w:rPr>
        <w:t xml:space="preserve">Mailtrap, Brevo, Amazon SES — comparativos de custo de envio de e-mail transacional, 2026.</w:t>
      </w:r>
    </w:p>
    <w:p>
      <w:pPr>
        <w:spacing w:after="160" w:line="276"/>
        <w:jc w:val="both"/>
      </w:pPr>
      <w:r>
        <w:rPr>
          <w:rFonts w:ascii="Arial" w:cs="Arial" w:eastAsia="Arial" w:hAnsi="Arial"/>
          <w:color w:val="1A1A1A"/>
          <w:sz w:val="20"/>
          <w:szCs w:val="20"/>
        </w:rPr>
        <w:t xml:space="preserve"/>
      </w:r>
    </w:p>
    <w:p>
      <w:pPr>
        <w:spacing w:after="160" w:line="276"/>
        <w:jc w:val="both"/>
      </w:pPr>
      <w:r>
        <w:rPr>
          <w:rFonts w:ascii="Arial" w:cs="Arial" w:eastAsia="Arial" w:hAnsi="Arial"/>
          <w:i/>
          <w:iCs/>
          <w:color w:val="595959"/>
          <w:sz w:val="20"/>
          <w:szCs w:val="20"/>
        </w:rPr>
        <w:t xml:space="preserve">Este documento e a planilha que o acompanha são uma base de planejamento inicial, não uma peça contábil ou fiscal definitiva. Os números e o enquadramento tributário aqui descritos devem ser validados por um contador antes de qualquer decisão operacional ou societária.</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jc w:val="right"/>
    </w:pPr>
    <w:r>
      <w:rPr>
        <w:rFonts w:ascii="Arial" w:cs="Arial" w:eastAsia="Arial" w:hAnsi="Arial"/>
        <w:color w:val="595959"/>
        <w:sz w:val="15"/>
        <w:szCs w:val="15"/>
      </w:rPr>
      <w:t xml:space="preserve">ÁUREA CUSTÓDIA — Documento Explicativo do Planejamento Financeiro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2026-07-22T02:34:03.179Z</dcterms:created>
  <dcterms:modified xsi:type="dcterms:W3CDTF">2026-07-22T02:34:03.192Z</dcterms:modified>
</cp:coreProperties>
</file>

<file path=docProps/custom.xml><?xml version="1.0" encoding="utf-8"?>
<Properties xmlns="http://schemas.openxmlformats.org/officeDocument/2006/custom-properties" xmlns:vt="http://schemas.openxmlformats.org/officeDocument/2006/docPropsVTypes"/>
</file>